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D4" w:rsidRDefault="00B31BD4" w:rsidP="00B31BD4">
      <w:r>
        <w:t>17–6 Governmental Hospital. During 2011, the following selected events and transactions were recorded by Nichols County Hospital.</w:t>
      </w:r>
    </w:p>
    <w:p w:rsidR="00B31BD4" w:rsidRDefault="00B31BD4" w:rsidP="00B31BD4"/>
    <w:p w:rsidR="00B5262B" w:rsidRDefault="00B31BD4" w:rsidP="00B31BD4">
      <w:pPr>
        <w:pStyle w:val="ListParagraph"/>
        <w:numPr>
          <w:ilvl w:val="0"/>
          <w:numId w:val="1"/>
        </w:numPr>
      </w:pPr>
      <w:r>
        <w:t>Gross charges for hospital services, all charged to accounts and notes receivable, were as follows:</w:t>
      </w:r>
    </w:p>
    <w:p w:rsidR="00B31BD4" w:rsidRDefault="00B31BD4" w:rsidP="00B31BD4">
      <w:pPr>
        <w:pStyle w:val="ListParagraph"/>
        <w:ind w:left="555"/>
      </w:pPr>
      <w:r w:rsidRPr="00B31BD4">
        <w:rPr>
          <w:noProof/>
        </w:rPr>
        <w:drawing>
          <wp:inline distT="0" distB="0" distL="0" distR="0">
            <wp:extent cx="5943600" cy="167898"/>
            <wp:effectExtent l="0" t="0" r="0" b="3810"/>
            <wp:docPr id="1" name="Picture 1" descr="C:\Users\Raisha\AppData\Local\Temp\I0077653025_c17_TB0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isha\AppData\Local\Temp\I0077653025_c17_TB03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BD4" w:rsidRDefault="00B31BD4" w:rsidP="00B31BD4">
      <w:pPr>
        <w:pStyle w:val="ListParagraph"/>
        <w:ind w:left="555"/>
      </w:pPr>
      <w:r>
        <w:t>2. After recording patient service revenues, it was determined that $52,000 related to charity care.</w:t>
      </w:r>
    </w:p>
    <w:p w:rsidR="00B31BD4" w:rsidRDefault="00B31BD4" w:rsidP="00B31BD4">
      <w:pPr>
        <w:pStyle w:val="ListParagraph"/>
        <w:ind w:left="555"/>
      </w:pPr>
      <w:r>
        <w:t>3. Additional information relating to current-year receivables and revenues is as follows:</w:t>
      </w:r>
    </w:p>
    <w:p w:rsidR="00B31BD4" w:rsidRDefault="00B31BD4" w:rsidP="00B31BD4">
      <w:pPr>
        <w:pStyle w:val="ListParagraph"/>
        <w:ind w:left="555"/>
      </w:pPr>
      <w:r w:rsidRPr="00B31BD4">
        <w:rPr>
          <w:noProof/>
        </w:rPr>
        <w:drawing>
          <wp:inline distT="0" distB="0" distL="0" distR="0">
            <wp:extent cx="5943600" cy="419746"/>
            <wp:effectExtent l="0" t="0" r="0" b="0"/>
            <wp:docPr id="2" name="Picture 2" descr="C:\Users\Raisha\AppData\Local\Temp\I0077653025_c17_TB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isha\AppData\Local\Temp\I0077653025_c17_TB0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BD4" w:rsidRDefault="00B31BD4" w:rsidP="00B31BD4">
      <w:pPr>
        <w:pStyle w:val="ListParagraph"/>
        <w:ind w:left="555"/>
      </w:pPr>
      <w:r>
        <w:t>4. During the year, the hospital received unrestricted cash contributions of $50,000 and unrestricted cash income from endowment investments of $6,500.</w:t>
      </w:r>
    </w:p>
    <w:p w:rsidR="00B31BD4" w:rsidRDefault="00B31BD4" w:rsidP="00B31BD4">
      <w:pPr>
        <w:pStyle w:val="ListParagraph"/>
        <w:ind w:left="555"/>
      </w:pPr>
      <w:r>
        <w:t>5. A federal cost reimbursement research grant of $350,000 was awarded. As of the end of the year, $200,000 in expenses related to the grant had been made. (Hint: See Chapter 4 for eligibility requirements.)</w:t>
      </w:r>
    </w:p>
    <w:p w:rsidR="00B31BD4" w:rsidRDefault="00B31BD4" w:rsidP="00B31BD4">
      <w:pPr>
        <w:pStyle w:val="ListParagraph"/>
        <w:ind w:left="555"/>
      </w:pPr>
      <w:r>
        <w:t>6. New equipment costing $39,000 was acquired from donor-restricted cash. An X-ray machine that cost $31,000 and had a book value of $2,400 was sold for $500 cash.</w:t>
      </w:r>
    </w:p>
    <w:p w:rsidR="00B31BD4" w:rsidRDefault="00B31BD4" w:rsidP="00B31BD4">
      <w:pPr>
        <w:pStyle w:val="ListParagraph"/>
        <w:ind w:left="555"/>
      </w:pPr>
      <w:r>
        <w:t>7. Vouchers totaling $1,340,200 were issued for the following items:</w:t>
      </w:r>
    </w:p>
    <w:p w:rsidR="00B31BD4" w:rsidRDefault="00B31BD4" w:rsidP="00B31BD4">
      <w:pPr>
        <w:pStyle w:val="ListParagraph"/>
        <w:ind w:left="555"/>
      </w:pPr>
      <w:r w:rsidRPr="00B31BD4">
        <w:rPr>
          <w:noProof/>
        </w:rPr>
        <w:drawing>
          <wp:inline distT="0" distB="0" distL="0" distR="0">
            <wp:extent cx="5943600" cy="1460715"/>
            <wp:effectExtent l="0" t="0" r="0" b="6350"/>
            <wp:docPr id="3" name="Picture 3" descr="C:\Users\Raisha\AppData\Local\Temp\I0077653025_c17_TB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isha\AppData\Local\Temp\I0077653025_c17_TB0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BD4" w:rsidRDefault="00B31BD4" w:rsidP="00B31BD4">
      <w:pPr>
        <w:pStyle w:val="ListParagraph"/>
        <w:ind w:left="555"/>
      </w:pPr>
      <w:r>
        <w:t>8. Collections of accounts receivable totaled $1,159,000. Accounts written off as uncollectible amounted to $11,900.</w:t>
      </w:r>
    </w:p>
    <w:p w:rsidR="00B31BD4" w:rsidRDefault="00B31BD4" w:rsidP="00B31BD4">
      <w:pPr>
        <w:pStyle w:val="ListParagraph"/>
        <w:ind w:left="555"/>
      </w:pPr>
      <w:r>
        <w:t>9. Cash payments on vouchers payable (paid to employers and suppliers) during the year were $1,031,200.</w:t>
      </w:r>
    </w:p>
    <w:p w:rsidR="00B31BD4" w:rsidRDefault="00B31BD4" w:rsidP="00B31BD4">
      <w:pPr>
        <w:pStyle w:val="ListParagraph"/>
        <w:ind w:left="555"/>
      </w:pPr>
      <w:r>
        <w:t>10. Supplies of $68,000 were issued to nursing services.</w:t>
      </w:r>
    </w:p>
    <w:p w:rsidR="00B31BD4" w:rsidRDefault="00B31BD4" w:rsidP="00B31BD4">
      <w:pPr>
        <w:pStyle w:val="ListParagraph"/>
        <w:ind w:left="555"/>
      </w:pPr>
      <w:r>
        <w:t>11. On December 31, 2011, accrued interest income on investments was $800.</w:t>
      </w:r>
    </w:p>
    <w:p w:rsidR="00B31BD4" w:rsidRDefault="00B31BD4" w:rsidP="00B31BD4">
      <w:pPr>
        <w:pStyle w:val="ListParagraph"/>
        <w:ind w:left="555"/>
      </w:pPr>
      <w:r>
        <w:t>12. Depreciation of buildings and equipment was as follows:</w:t>
      </w:r>
    </w:p>
    <w:p w:rsidR="00B31BD4" w:rsidRDefault="00B31BD4" w:rsidP="00B31BD4">
      <w:pPr>
        <w:pStyle w:val="ListParagraph"/>
        <w:ind w:left="555"/>
      </w:pPr>
      <w:r w:rsidRPr="00B31BD4">
        <w:rPr>
          <w:noProof/>
        </w:rPr>
        <w:drawing>
          <wp:inline distT="0" distB="0" distL="0" distR="0">
            <wp:extent cx="5943600" cy="435306"/>
            <wp:effectExtent l="0" t="0" r="0" b="3175"/>
            <wp:docPr id="4" name="Picture 4" descr="C:\Users\Raisha\AppData\Local\Temp\I0077653025_c17_TB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isha\AppData\Local\Temp\I0077653025_c17_TB0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BD4" w:rsidRDefault="00B31BD4" w:rsidP="00B31BD4">
      <w:pPr>
        <w:pStyle w:val="ListParagraph"/>
        <w:ind w:left="555"/>
      </w:pPr>
      <w:r>
        <w:t>13. On December 31, 2011, closing entries were made in the general journal. Required</w:t>
      </w:r>
    </w:p>
    <w:p w:rsidR="00B31BD4" w:rsidRDefault="00B31BD4" w:rsidP="00B31BD4">
      <w:pPr>
        <w:pStyle w:val="ListParagraph"/>
        <w:ind w:left="555"/>
      </w:pPr>
    </w:p>
    <w:p w:rsidR="00B31BD4" w:rsidRDefault="00B31BD4" w:rsidP="00B31BD4">
      <w:pPr>
        <w:pStyle w:val="ListParagraph"/>
        <w:ind w:left="555"/>
      </w:pPr>
      <w:r>
        <w:t xml:space="preserve">    a. Show in general journal form the entries that should be made for each of the transactions and the closing entries in accordance with the standards for a governmental health care entity that follows proprietary fund accounting, as discussed in this chapter and Chapter 7.</w:t>
      </w:r>
    </w:p>
    <w:p w:rsidR="00B31BD4" w:rsidRDefault="00B31BD4" w:rsidP="00B31BD4">
      <w:pPr>
        <w:pStyle w:val="ListParagraph"/>
        <w:ind w:left="555"/>
      </w:pPr>
      <w:r>
        <w:t xml:space="preserve">    b. Using the available information, calculate the net patient service revenue that would be reported on the statement of revenues, expenses, and changes in net assets.</w:t>
      </w:r>
      <w:bookmarkStart w:id="0" w:name="_GoBack"/>
      <w:bookmarkEnd w:id="0"/>
    </w:p>
    <w:sectPr w:rsidR="00B31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57A8F"/>
    <w:multiLevelType w:val="hybridMultilevel"/>
    <w:tmpl w:val="986AA162"/>
    <w:lvl w:ilvl="0" w:tplc="5F5E1C0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D4"/>
    <w:rsid w:val="00875834"/>
    <w:rsid w:val="00B31BD4"/>
    <w:rsid w:val="00B5262B"/>
    <w:rsid w:val="00B804B4"/>
    <w:rsid w:val="00C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CA8"/>
  <w15:chartTrackingRefBased/>
  <w15:docId w15:val="{484A50E5-0D98-45B9-89EA-275D1ACC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Raisha</dc:creator>
  <cp:keywords/>
  <dc:description/>
  <cp:lastModifiedBy>Raisha</cp:lastModifiedBy>
  <cp:revision>1</cp:revision>
  <dcterms:created xsi:type="dcterms:W3CDTF">2017-04-16T23:00:00Z</dcterms:created>
  <dcterms:modified xsi:type="dcterms:W3CDTF">2017-04-16T23:12:00Z</dcterms:modified>
</cp:coreProperties>
</file>