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3EC837" w14:textId="77777777" w:rsidR="007A01F1" w:rsidRDefault="007A01F1" w:rsidP="007A01F1">
      <w:pPr>
        <w:spacing w:after="144" w:line="240" w:lineRule="auto"/>
        <w:rPr>
          <w:rFonts w:ascii="Trebuchet MS" w:eastAsia="Times New Roman" w:hAnsi="Trebuchet MS" w:cs="Times New Roman"/>
          <w:color w:val="555B67"/>
          <w:sz w:val="38"/>
          <w:szCs w:val="38"/>
          <w:lang w:val="en"/>
        </w:rPr>
      </w:pPr>
      <w:r w:rsidRPr="007A01F1">
        <w:rPr>
          <w:rFonts w:ascii="Trebuchet MS" w:eastAsia="Times New Roman" w:hAnsi="Trebuchet MS" w:cs="Times New Roman"/>
          <w:color w:val="555B67"/>
          <w:sz w:val="38"/>
          <w:szCs w:val="38"/>
          <w:lang w:val="en"/>
        </w:rPr>
        <w:t xml:space="preserve">Evaluative Bibliography Of Research </w:t>
      </w:r>
    </w:p>
    <w:p w14:paraId="5F939855" w14:textId="77777777" w:rsidR="00186966" w:rsidRPr="00186966" w:rsidRDefault="00186966" w:rsidP="007A01F1">
      <w:pPr>
        <w:spacing w:after="144" w:line="240" w:lineRule="auto"/>
        <w:rPr>
          <w:rFonts w:ascii="Trebuchet MS" w:eastAsia="Times New Roman" w:hAnsi="Trebuchet MS" w:cs="Times New Roman"/>
          <w:i/>
          <w:color w:val="555B67"/>
          <w:sz w:val="28"/>
          <w:szCs w:val="28"/>
          <w:lang w:val="en"/>
        </w:rPr>
      </w:pPr>
      <w:r w:rsidRPr="00186966">
        <w:rPr>
          <w:rFonts w:ascii="Trebuchet MS" w:eastAsia="Times New Roman" w:hAnsi="Trebuchet MS" w:cs="Times New Roman"/>
          <w:i/>
          <w:color w:val="555B67"/>
          <w:sz w:val="28"/>
          <w:szCs w:val="28"/>
          <w:lang w:val="en"/>
        </w:rPr>
        <w:t>Rough Draft due Monday, April 3, midnight</w:t>
      </w:r>
    </w:p>
    <w:p w14:paraId="3C47D11E" w14:textId="77777777" w:rsidR="00186966" w:rsidRPr="007A01F1" w:rsidRDefault="00186966" w:rsidP="007A01F1">
      <w:pPr>
        <w:spacing w:after="144" w:line="240" w:lineRule="auto"/>
        <w:rPr>
          <w:rFonts w:ascii="Trebuchet MS" w:eastAsia="Times New Roman" w:hAnsi="Trebuchet MS" w:cs="Times New Roman"/>
          <w:i/>
          <w:color w:val="555B67"/>
          <w:sz w:val="28"/>
          <w:szCs w:val="28"/>
          <w:lang w:val="en"/>
        </w:rPr>
      </w:pPr>
      <w:r w:rsidRPr="00186966">
        <w:rPr>
          <w:rFonts w:ascii="Trebuchet MS" w:eastAsia="Times New Roman" w:hAnsi="Trebuchet MS" w:cs="Times New Roman"/>
          <w:i/>
          <w:color w:val="555B67"/>
          <w:sz w:val="28"/>
          <w:szCs w:val="28"/>
          <w:lang w:val="en"/>
        </w:rPr>
        <w:t>Final Draft TBA</w:t>
      </w:r>
    </w:p>
    <w:p w14:paraId="2A2E3661" w14:textId="77777777" w:rsidR="007A01F1" w:rsidRDefault="007A01F1" w:rsidP="007A01F1">
      <w:pPr>
        <w:spacing w:before="100" w:beforeAutospacing="1" w:after="100" w:afterAutospacing="1" w:line="338" w:lineRule="auto"/>
        <w:rPr>
          <w:rFonts w:ascii="Verdana" w:eastAsia="Times New Roman" w:hAnsi="Verdana" w:cs="Times New Roman"/>
          <w:color w:val="333333"/>
          <w:sz w:val="19"/>
          <w:szCs w:val="19"/>
          <w:lang w:val="en"/>
        </w:rPr>
      </w:pPr>
      <w:r w:rsidRPr="007A01F1">
        <w:rPr>
          <w:rFonts w:ascii="Verdana" w:eastAsia="Times New Roman" w:hAnsi="Verdana" w:cs="Times New Roman"/>
          <w:color w:val="333333"/>
          <w:sz w:val="19"/>
          <w:szCs w:val="19"/>
          <w:lang w:val="en"/>
        </w:rPr>
        <w:t>Evaluative Annotated Bibliography – 20%</w:t>
      </w:r>
    </w:p>
    <w:p w14:paraId="49E8EFD8" w14:textId="77777777" w:rsidR="00AA6E46" w:rsidRDefault="00AA6E46" w:rsidP="007A01F1">
      <w:pPr>
        <w:spacing w:before="100" w:beforeAutospacing="1" w:after="100" w:afterAutospacing="1" w:line="338" w:lineRule="auto"/>
        <w:rPr>
          <w:rFonts w:ascii="Verdana" w:eastAsia="Times New Roman" w:hAnsi="Verdana" w:cs="Times New Roman"/>
          <w:color w:val="333333"/>
          <w:sz w:val="19"/>
          <w:szCs w:val="19"/>
          <w:lang w:val="en"/>
        </w:rPr>
      </w:pPr>
      <w:r>
        <w:rPr>
          <w:rFonts w:ascii="Verdana" w:eastAsia="Times New Roman" w:hAnsi="Verdana" w:cs="Times New Roman"/>
          <w:color w:val="333333"/>
          <w:sz w:val="19"/>
          <w:szCs w:val="19"/>
          <w:lang w:val="en"/>
        </w:rPr>
        <w:t>Final Draft Due April 20, midnight.</w:t>
      </w:r>
    </w:p>
    <w:p w14:paraId="08460BB0" w14:textId="77777777" w:rsidR="00AA6E46" w:rsidRDefault="00AA6E46" w:rsidP="007A01F1">
      <w:pPr>
        <w:spacing w:before="100" w:beforeAutospacing="1" w:after="100" w:afterAutospacing="1" w:line="338" w:lineRule="auto"/>
        <w:rPr>
          <w:rFonts w:ascii="Verdana" w:eastAsia="Times New Roman" w:hAnsi="Verdana" w:cs="Times New Roman"/>
          <w:color w:val="333333"/>
          <w:sz w:val="19"/>
          <w:szCs w:val="19"/>
          <w:lang w:val="en"/>
        </w:rPr>
      </w:pPr>
      <w:r>
        <w:rPr>
          <w:rFonts w:ascii="Verdana" w:eastAsia="Times New Roman" w:hAnsi="Verdana" w:cs="Times New Roman"/>
          <w:color w:val="333333"/>
          <w:sz w:val="19"/>
          <w:szCs w:val="19"/>
          <w:lang w:val="en"/>
        </w:rPr>
        <w:t>Add a brief introductory paragraph stating the purpose of this paper.</w:t>
      </w:r>
    </w:p>
    <w:p w14:paraId="023B06BB" w14:textId="77777777" w:rsidR="00AA6E46" w:rsidRPr="007A01F1" w:rsidRDefault="00AA6E46" w:rsidP="007A01F1">
      <w:pPr>
        <w:spacing w:before="100" w:beforeAutospacing="1" w:after="100" w:afterAutospacing="1" w:line="338" w:lineRule="auto"/>
        <w:rPr>
          <w:rFonts w:ascii="Verdana" w:eastAsia="Times New Roman" w:hAnsi="Verdana" w:cs="Times New Roman"/>
          <w:color w:val="333333"/>
          <w:sz w:val="19"/>
          <w:szCs w:val="19"/>
          <w:lang w:val="en"/>
        </w:rPr>
      </w:pPr>
      <w:r>
        <w:rPr>
          <w:rFonts w:ascii="Verdana" w:eastAsia="Times New Roman" w:hAnsi="Verdana" w:cs="Times New Roman"/>
          <w:color w:val="333333"/>
          <w:sz w:val="19"/>
          <w:szCs w:val="19"/>
          <w:lang w:val="en"/>
        </w:rPr>
        <w:t>Add a brief final paragraph generally supporting your source choices versus the other possible choices.</w:t>
      </w:r>
    </w:p>
    <w:p w14:paraId="2D7DD25B" w14:textId="77777777" w:rsidR="007A01F1" w:rsidRPr="007A01F1" w:rsidRDefault="007A01F1" w:rsidP="007A01F1">
      <w:pPr>
        <w:spacing w:before="100" w:beforeAutospacing="1" w:after="100" w:afterAutospacing="1" w:line="338" w:lineRule="auto"/>
        <w:rPr>
          <w:rFonts w:ascii="Verdana" w:eastAsia="Times New Roman" w:hAnsi="Verdana" w:cs="Times New Roman"/>
          <w:color w:val="333333"/>
          <w:sz w:val="19"/>
          <w:szCs w:val="19"/>
          <w:lang w:val="en"/>
        </w:rPr>
      </w:pPr>
      <w:r w:rsidRPr="007A01F1">
        <w:rPr>
          <w:rFonts w:ascii="Verdana" w:eastAsia="Times New Roman" w:hAnsi="Verdana" w:cs="Times New Roman"/>
          <w:color w:val="333333"/>
          <w:sz w:val="19"/>
          <w:szCs w:val="19"/>
          <w:lang w:val="en"/>
        </w:rPr>
        <w:t>Assignment:</w:t>
      </w:r>
      <w:r w:rsidRPr="007A01F1">
        <w:rPr>
          <w:rFonts w:ascii="Verdana" w:eastAsia="Times New Roman" w:hAnsi="Verdana" w:cs="Times New Roman"/>
          <w:color w:val="333333"/>
          <w:sz w:val="19"/>
          <w:szCs w:val="19"/>
          <w:lang w:val="en"/>
        </w:rPr>
        <w:br/>
        <w:t>Produce an evaluative annotated bibliography that collects, summarizes, and explains the best secondary sources available on your narrowed topic (there will also be an in-class research presentation, five minutes in length, worth 5% of your final grade). Many of the sources collected will be scholarly. The annotated bibliography will 1) summarize the source 2) explain its rhetorical context (the journal and its audience, the purpose of the article, the conversation/debate it references, its genre conventions, its organization, the evidence it marshals in support of its argument, and/or its disciplinary assumptions and values) and 3) articulate the ways the source helps you understand your research topic in all of its complexity.</w:t>
      </w:r>
    </w:p>
    <w:p w14:paraId="4EFBBD29" w14:textId="77777777" w:rsidR="007A01F1" w:rsidRPr="00AA6E46" w:rsidRDefault="007A01F1" w:rsidP="007A01F1">
      <w:pPr>
        <w:spacing w:before="100" w:beforeAutospacing="1" w:after="100" w:afterAutospacing="1" w:line="338" w:lineRule="auto"/>
        <w:rPr>
          <w:rFonts w:ascii="Verdana" w:eastAsia="Times New Roman" w:hAnsi="Verdana" w:cs="Times New Roman"/>
          <w:color w:val="333333"/>
          <w:sz w:val="19"/>
          <w:szCs w:val="19"/>
          <w:lang w:val="en"/>
        </w:rPr>
      </w:pPr>
      <w:r w:rsidRPr="007A01F1">
        <w:rPr>
          <w:rFonts w:ascii="Verdana" w:eastAsia="Times New Roman" w:hAnsi="Verdana" w:cs="Times New Roman"/>
          <w:color w:val="333333"/>
          <w:sz w:val="19"/>
          <w:szCs w:val="19"/>
          <w:lang w:val="en"/>
        </w:rPr>
        <w:t>Requirements:</w:t>
      </w:r>
      <w:r w:rsidRPr="007A01F1">
        <w:rPr>
          <w:rFonts w:ascii="Verdana" w:eastAsia="Times New Roman" w:hAnsi="Verdana" w:cs="Times New Roman"/>
          <w:color w:val="333333"/>
          <w:sz w:val="19"/>
          <w:szCs w:val="19"/>
          <w:lang w:val="en"/>
        </w:rPr>
        <w:br/>
      </w:r>
      <w:r w:rsidRPr="00AA6E46">
        <w:rPr>
          <w:rFonts w:ascii="Verdana" w:eastAsia="Times New Roman" w:hAnsi="Verdana" w:cs="Times New Roman"/>
          <w:color w:val="333333"/>
          <w:sz w:val="19"/>
          <w:szCs w:val="19"/>
          <w:lang w:val="en"/>
        </w:rPr>
        <w:t xml:space="preserve">The bibliography should contain 3 or more sources, each with a correct citation, a paragraph telling the reader the main argument and main points of the article, a description of the rhetorical context (the journal and its audience, the purpose of the article, the conversation/debate it references, its genre conventions, its organization, </w:t>
      </w:r>
      <w:r w:rsidRPr="00AA6E46">
        <w:rPr>
          <w:rFonts w:ascii="Verdana" w:eastAsia="Times New Roman" w:hAnsi="Verdana" w:cs="Times New Roman"/>
          <w:color w:val="333333"/>
          <w:sz w:val="19"/>
          <w:szCs w:val="19"/>
          <w:u w:val="single"/>
          <w:lang w:val="en"/>
        </w:rPr>
        <w:t>the evidence it</w:t>
      </w:r>
      <w:r w:rsidRPr="00AA6E46">
        <w:rPr>
          <w:rFonts w:ascii="Verdana" w:eastAsia="Times New Roman" w:hAnsi="Verdana" w:cs="Times New Roman"/>
          <w:color w:val="333333"/>
          <w:sz w:val="19"/>
          <w:szCs w:val="19"/>
          <w:lang w:val="en"/>
        </w:rPr>
        <w:t xml:space="preserve"> </w:t>
      </w:r>
      <w:r w:rsidRPr="00AA6E46">
        <w:rPr>
          <w:rFonts w:ascii="Verdana" w:eastAsia="Times New Roman" w:hAnsi="Verdana" w:cs="Times New Roman"/>
          <w:color w:val="333333"/>
          <w:sz w:val="19"/>
          <w:szCs w:val="19"/>
          <w:u w:val="single"/>
          <w:lang w:val="en"/>
        </w:rPr>
        <w:t>marshals in support of its argument, and/or its disciplinary assumptions and values),</w:t>
      </w:r>
      <w:r w:rsidRPr="00AA6E46">
        <w:rPr>
          <w:rFonts w:ascii="Verdana" w:eastAsia="Times New Roman" w:hAnsi="Verdana" w:cs="Times New Roman"/>
          <w:color w:val="333333"/>
          <w:sz w:val="19"/>
          <w:szCs w:val="19"/>
          <w:lang w:val="en"/>
        </w:rPr>
        <w:t xml:space="preserve"> and a couple of sentences talking about why you choose this article, about what it helps you understand about your research topic. You will need to include copies of all your sources. See example below.</w:t>
      </w:r>
    </w:p>
    <w:p w14:paraId="2A949F0B" w14:textId="77777777" w:rsidR="007A01F1" w:rsidRPr="007A01F1" w:rsidRDefault="007A01F1" w:rsidP="007A01F1">
      <w:pPr>
        <w:spacing w:before="100" w:beforeAutospacing="1" w:after="100" w:afterAutospacing="1" w:line="338" w:lineRule="auto"/>
        <w:rPr>
          <w:rFonts w:ascii="Verdana" w:eastAsia="Times New Roman" w:hAnsi="Verdana" w:cs="Times New Roman"/>
          <w:color w:val="333333"/>
          <w:sz w:val="19"/>
          <w:szCs w:val="19"/>
          <w:lang w:val="en"/>
        </w:rPr>
      </w:pPr>
      <w:r w:rsidRPr="00AA6E46">
        <w:rPr>
          <w:rFonts w:ascii="Verdana" w:eastAsia="Times New Roman" w:hAnsi="Verdana" w:cs="Times New Roman"/>
          <w:color w:val="333333"/>
          <w:sz w:val="19"/>
          <w:szCs w:val="19"/>
          <w:lang w:val="en"/>
        </w:rPr>
        <w:t>Downs, Doug and Elizabeth Wardle. “Teaching about Writing, Righting Misconceptions:</w:t>
      </w:r>
      <w:r w:rsidRPr="00AA6E46">
        <w:rPr>
          <w:rFonts w:ascii="Verdana" w:eastAsia="Times New Roman" w:hAnsi="Verdana" w:cs="Times New Roman"/>
          <w:color w:val="333333"/>
          <w:sz w:val="19"/>
          <w:szCs w:val="19"/>
          <w:lang w:val="en"/>
        </w:rPr>
        <w:br/>
        <w:t>(Re)Envisioning ‘First Year Composition’ as ‘Introduction to Writing Studies.’” College</w:t>
      </w:r>
      <w:r w:rsidRPr="00AA6E46">
        <w:rPr>
          <w:rFonts w:ascii="Verdana" w:eastAsia="Times New Roman" w:hAnsi="Verdana" w:cs="Times New Roman"/>
          <w:color w:val="333333"/>
          <w:sz w:val="19"/>
          <w:szCs w:val="19"/>
          <w:lang w:val="en"/>
        </w:rPr>
        <w:br/>
        <w:t>Composition and Communication 58.4 (2007): 552-585. Web. 10 Feb. 2011.</w:t>
      </w:r>
      <w:r w:rsidRPr="007A01F1">
        <w:rPr>
          <w:rFonts w:ascii="Verdana" w:eastAsia="Times New Roman" w:hAnsi="Verdana" w:cs="Times New Roman"/>
          <w:color w:val="333333"/>
          <w:sz w:val="19"/>
          <w:szCs w:val="19"/>
          <w:lang w:val="en"/>
        </w:rPr>
        <w:br/>
      </w:r>
      <w:r w:rsidRPr="00AA6E46">
        <w:rPr>
          <w:rFonts w:ascii="Verdana" w:eastAsia="Times New Roman" w:hAnsi="Verdana" w:cs="Times New Roman"/>
          <w:color w:val="333333"/>
          <w:sz w:val="19"/>
          <w:szCs w:val="19"/>
          <w:lang w:val="en"/>
        </w:rPr>
        <w:t xml:space="preserve">In this article, Doug Downs and Elizabeth Wardle propose a new model for first-year writing classes. They argue that these classes should take writing studies as their content and that doing so will benefit not only students but the discipline itself. They contend that the topic of the </w:t>
      </w:r>
      <w:r w:rsidRPr="00AA6E46">
        <w:rPr>
          <w:rFonts w:ascii="Verdana" w:eastAsia="Times New Roman" w:hAnsi="Verdana" w:cs="Times New Roman"/>
          <w:color w:val="333333"/>
          <w:sz w:val="19"/>
          <w:szCs w:val="19"/>
          <w:lang w:val="en"/>
        </w:rPr>
        <w:lastRenderedPageBreak/>
        <w:t>writing class should be a study of writing; students should read and discuss and research issues involving “writing, rhetoric, language and literacy” (553). They cite research that shows that students are not transferring the lessons they learn in first-year writing classes to other writing situations (in other classes), and believe that it is because these first-year writing lessons don’t necessarily apply to other situations (556-557); they contend that a better strategy would be to teach “realistic and useful conception of writing - perhaps the most significant of which is that writing is neither basic nor universal but content- and context-contingent and irreducibly complex” (557-558), a strategy that requires students study and write about writing rather than about other topics. They trace the success of their own pilot “writing about writing” courses, providing case studies that show that the curriculum works for underprepared students as well as honors students (564-573).</w:t>
      </w:r>
      <w:r w:rsidRPr="00AA6E46">
        <w:rPr>
          <w:rFonts w:ascii="Verdana" w:eastAsia="Times New Roman" w:hAnsi="Verdana" w:cs="Times New Roman"/>
          <w:color w:val="333333"/>
          <w:sz w:val="19"/>
          <w:szCs w:val="19"/>
          <w:lang w:val="en"/>
        </w:rPr>
        <w:br/>
        <w:t xml:space="preserve">The article is aimed at writing teachers and perhaps faculty who make curriculum decisions for first-year composition. The articles wants to convince this audience to adopt the proposed curriculum and does this by drawing on research that calls into question the efficacy of the curriculum of most first-year writing programs. It also addresses debates about the low status of the discipline in the academy, arguing that the proposed curriculum will help remedy this low status. The writers also directly address critics of the new curriculum, arguing against their objections one by one. The </w:t>
      </w:r>
      <w:r w:rsidRPr="000E176E">
        <w:rPr>
          <w:rFonts w:ascii="Verdana" w:eastAsia="Times New Roman" w:hAnsi="Verdana" w:cs="Times New Roman"/>
          <w:color w:val="333333"/>
          <w:sz w:val="19"/>
          <w:szCs w:val="19"/>
          <w:lang w:val="en"/>
        </w:rPr>
        <w:t>article is arranged first to argue for the curriculum using already-published and accepted research, then to describe in detail the proposed curriculum, then to report on case studies of classes that taught the new curriculum, and then to argue against critic’s objections. The article does not directly follow the social science model (literature review, describe experiment, data from experiment, discuss conclusions based on data), but it does loosely follow this model and is tightly structured with subheadings. The writers refer to themselves by their last names or by “we,” especially in the case study portion of the article and at the beginning of a section when they outline what they will do in that section.</w:t>
      </w:r>
      <w:r w:rsidRPr="007A01F1">
        <w:rPr>
          <w:rFonts w:ascii="Verdana" w:eastAsia="Times New Roman" w:hAnsi="Verdana" w:cs="Times New Roman"/>
          <w:color w:val="333333"/>
          <w:sz w:val="19"/>
          <w:szCs w:val="19"/>
          <w:lang w:val="en"/>
        </w:rPr>
        <w:t xml:space="preserve"> </w:t>
      </w:r>
      <w:r w:rsidRPr="007A01F1">
        <w:rPr>
          <w:rFonts w:ascii="Verdana" w:eastAsia="Times New Roman" w:hAnsi="Verdana" w:cs="Times New Roman"/>
          <w:color w:val="333333"/>
          <w:sz w:val="19"/>
          <w:szCs w:val="19"/>
          <w:u w:val="single"/>
          <w:lang w:val="en"/>
        </w:rPr>
        <w:t>They also quote heavily form their students’ own writing as proof that students did learn important lessons in the new curriculum – showing that the article values first-hand experience of teachers (this is the</w:t>
      </w:r>
      <w:r w:rsidRPr="007A01F1">
        <w:rPr>
          <w:rFonts w:ascii="Verdana" w:eastAsia="Times New Roman" w:hAnsi="Verdana" w:cs="Times New Roman"/>
          <w:color w:val="333333"/>
          <w:sz w:val="19"/>
          <w:szCs w:val="19"/>
          <w:lang w:val="en"/>
        </w:rPr>
        <w:t xml:space="preserve"> </w:t>
      </w:r>
      <w:r w:rsidRPr="007A01F1">
        <w:rPr>
          <w:rFonts w:ascii="Verdana" w:eastAsia="Times New Roman" w:hAnsi="Verdana" w:cs="Times New Roman"/>
          <w:color w:val="333333"/>
          <w:sz w:val="19"/>
          <w:szCs w:val="19"/>
          <w:u w:val="single"/>
          <w:lang w:val="en"/>
        </w:rPr>
        <w:t>largest section in the article at nearly 9 pages in length</w:t>
      </w:r>
      <w:r w:rsidRPr="00AA6E46">
        <w:rPr>
          <w:rFonts w:ascii="Verdana" w:eastAsia="Times New Roman" w:hAnsi="Verdana" w:cs="Times New Roman"/>
          <w:color w:val="333333"/>
          <w:sz w:val="19"/>
          <w:szCs w:val="19"/>
          <w:lang w:val="en"/>
        </w:rPr>
        <w:t>). This article is incredibly useful in my study of what skills students can take with them from their first-year writing classes. It provides a discussion of why students can’t transfer many of the lessons they learn in learn in many first-year writing to their other classes (academic discourse is not one thing) and it helps me understand how rhetorical knowledge and an appreciation of the complexity of writing is something they can take with them. The case study examples, in particular, are useful in helping me see what students learned that will be helpful to them later.</w:t>
      </w:r>
    </w:p>
    <w:p w14:paraId="22A637F9" w14:textId="77777777" w:rsidR="007A01F1" w:rsidRPr="007A01F1" w:rsidRDefault="007A01F1" w:rsidP="007A01F1">
      <w:pPr>
        <w:spacing w:before="100" w:beforeAutospacing="1" w:after="100" w:afterAutospacing="1" w:line="338" w:lineRule="auto"/>
        <w:rPr>
          <w:rFonts w:ascii="Verdana" w:eastAsia="Times New Roman" w:hAnsi="Verdana" w:cs="Times New Roman"/>
          <w:color w:val="333333"/>
          <w:sz w:val="19"/>
          <w:szCs w:val="19"/>
          <w:lang w:val="en"/>
        </w:rPr>
      </w:pPr>
      <w:r w:rsidRPr="007A01F1">
        <w:rPr>
          <w:rFonts w:ascii="Verdana" w:eastAsia="Times New Roman" w:hAnsi="Verdana" w:cs="Times New Roman"/>
          <w:color w:val="333333"/>
          <w:sz w:val="19"/>
          <w:szCs w:val="19"/>
          <w:lang w:val="en"/>
        </w:rPr>
        <w:t>Process:</w:t>
      </w:r>
      <w:r w:rsidRPr="007A01F1">
        <w:rPr>
          <w:rFonts w:ascii="Verdana" w:eastAsia="Times New Roman" w:hAnsi="Verdana" w:cs="Times New Roman"/>
          <w:color w:val="333333"/>
          <w:sz w:val="19"/>
          <w:szCs w:val="19"/>
          <w:lang w:val="en"/>
        </w:rPr>
        <w:br/>
        <w:t>Develop a narrowed research topic and focused research question</w:t>
      </w:r>
      <w:r w:rsidRPr="007A01F1">
        <w:rPr>
          <w:rFonts w:ascii="Verdana" w:eastAsia="Times New Roman" w:hAnsi="Verdana" w:cs="Times New Roman"/>
          <w:color w:val="333333"/>
          <w:sz w:val="19"/>
          <w:szCs w:val="19"/>
          <w:lang w:val="en"/>
        </w:rPr>
        <w:br/>
        <w:t>Find articles using library databases pertinent to your topic (</w:t>
      </w:r>
      <w:proofErr w:type="spellStart"/>
      <w:r w:rsidRPr="007A01F1">
        <w:rPr>
          <w:rFonts w:ascii="Verdana" w:eastAsia="Times New Roman" w:hAnsi="Verdana" w:cs="Times New Roman"/>
          <w:color w:val="333333"/>
          <w:sz w:val="19"/>
          <w:szCs w:val="19"/>
          <w:lang w:val="en"/>
        </w:rPr>
        <w:t>Proquest</w:t>
      </w:r>
      <w:proofErr w:type="spellEnd"/>
      <w:r w:rsidRPr="007A01F1">
        <w:rPr>
          <w:rFonts w:ascii="Verdana" w:eastAsia="Times New Roman" w:hAnsi="Verdana" w:cs="Times New Roman"/>
          <w:color w:val="333333"/>
          <w:sz w:val="19"/>
          <w:szCs w:val="19"/>
          <w:lang w:val="en"/>
        </w:rPr>
        <w:t xml:space="preserve"> and Academic Search Complete)</w:t>
      </w:r>
      <w:r w:rsidRPr="007A01F1">
        <w:rPr>
          <w:rFonts w:ascii="Verdana" w:eastAsia="Times New Roman" w:hAnsi="Verdana" w:cs="Times New Roman"/>
          <w:color w:val="333333"/>
          <w:sz w:val="19"/>
          <w:szCs w:val="19"/>
          <w:lang w:val="en"/>
        </w:rPr>
        <w:br/>
        <w:t>Adapt research topic based on early findings</w:t>
      </w:r>
      <w:r w:rsidRPr="007A01F1">
        <w:rPr>
          <w:rFonts w:ascii="Verdana" w:eastAsia="Times New Roman" w:hAnsi="Verdana" w:cs="Times New Roman"/>
          <w:color w:val="333333"/>
          <w:sz w:val="19"/>
          <w:szCs w:val="19"/>
          <w:lang w:val="en"/>
        </w:rPr>
        <w:br/>
      </w:r>
      <w:r w:rsidRPr="007A01F1">
        <w:rPr>
          <w:rFonts w:ascii="Verdana" w:eastAsia="Times New Roman" w:hAnsi="Verdana" w:cs="Times New Roman"/>
          <w:color w:val="333333"/>
          <w:sz w:val="19"/>
          <w:szCs w:val="19"/>
          <w:lang w:val="en"/>
        </w:rPr>
        <w:lastRenderedPageBreak/>
        <w:t>Read, evaluate, summarize, interpret, and describe sources</w:t>
      </w:r>
      <w:r w:rsidRPr="007A01F1">
        <w:rPr>
          <w:rFonts w:ascii="Verdana" w:eastAsia="Times New Roman" w:hAnsi="Verdana" w:cs="Times New Roman"/>
          <w:color w:val="333333"/>
          <w:sz w:val="19"/>
          <w:szCs w:val="19"/>
          <w:lang w:val="en"/>
        </w:rPr>
        <w:br/>
        <w:t>Draft citations for peer review</w:t>
      </w:r>
      <w:r w:rsidRPr="007A01F1">
        <w:rPr>
          <w:rFonts w:ascii="Verdana" w:eastAsia="Times New Roman" w:hAnsi="Verdana" w:cs="Times New Roman"/>
          <w:color w:val="333333"/>
          <w:sz w:val="19"/>
          <w:szCs w:val="19"/>
          <w:lang w:val="en"/>
        </w:rPr>
        <w:br/>
        <w:t>Present research to class</w:t>
      </w:r>
      <w:r w:rsidRPr="007A01F1">
        <w:rPr>
          <w:rFonts w:ascii="Verdana" w:eastAsia="Times New Roman" w:hAnsi="Verdana" w:cs="Times New Roman"/>
          <w:color w:val="333333"/>
          <w:sz w:val="19"/>
          <w:szCs w:val="19"/>
          <w:lang w:val="en"/>
        </w:rPr>
        <w:br/>
        <w:t>Revise for feedback from peers</w:t>
      </w:r>
      <w:r w:rsidRPr="007A01F1">
        <w:rPr>
          <w:rFonts w:ascii="Verdana" w:eastAsia="Times New Roman" w:hAnsi="Verdana" w:cs="Times New Roman"/>
          <w:color w:val="333333"/>
          <w:sz w:val="19"/>
          <w:szCs w:val="19"/>
          <w:lang w:val="en"/>
        </w:rPr>
        <w:br/>
        <w:t xml:space="preserve">Submit two copies of the final draft of your annotated bibliography, a draft with feedback from peers, and </w:t>
      </w:r>
      <w:r w:rsidRPr="007A01F1">
        <w:rPr>
          <w:rFonts w:ascii="Verdana" w:eastAsia="Times New Roman" w:hAnsi="Verdana" w:cs="Times New Roman"/>
          <w:i/>
          <w:color w:val="333333"/>
          <w:sz w:val="19"/>
          <w:szCs w:val="19"/>
          <w:lang w:val="en"/>
        </w:rPr>
        <w:t>copies of all your sources</w:t>
      </w:r>
      <w:r w:rsidR="00186966">
        <w:rPr>
          <w:rFonts w:ascii="Verdana" w:eastAsia="Times New Roman" w:hAnsi="Verdana" w:cs="Times New Roman"/>
          <w:i/>
          <w:color w:val="333333"/>
          <w:sz w:val="19"/>
          <w:szCs w:val="19"/>
          <w:lang w:val="en"/>
        </w:rPr>
        <w:t xml:space="preserve"> ( hard copy to instructor ).</w:t>
      </w:r>
    </w:p>
    <w:p w14:paraId="5DBE102A" w14:textId="77777777" w:rsidR="007A01F1" w:rsidRDefault="007A01F1">
      <w:bookmarkStart w:id="0" w:name="_GoBack"/>
      <w:bookmarkEnd w:id="0"/>
    </w:p>
    <w:sectPr w:rsidR="007A01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6375D"/>
    <w:multiLevelType w:val="multilevel"/>
    <w:tmpl w:val="3A96DE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034967"/>
    <w:multiLevelType w:val="multilevel"/>
    <w:tmpl w:val="5936CF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0B4DCB"/>
    <w:multiLevelType w:val="multilevel"/>
    <w:tmpl w:val="3EB29D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DE7324"/>
    <w:multiLevelType w:val="multilevel"/>
    <w:tmpl w:val="112E58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160058"/>
    <w:multiLevelType w:val="multilevel"/>
    <w:tmpl w:val="C8A602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E00BA0"/>
    <w:multiLevelType w:val="multilevel"/>
    <w:tmpl w:val="5C72EA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1F1"/>
    <w:rsid w:val="000E176E"/>
    <w:rsid w:val="00186966"/>
    <w:rsid w:val="003D5E15"/>
    <w:rsid w:val="005F747D"/>
    <w:rsid w:val="007A01F1"/>
    <w:rsid w:val="00AA6E46"/>
    <w:rsid w:val="00AE7D31"/>
    <w:rsid w:val="00FF5F11"/>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33D76"/>
  <w15:docId w15:val="{FAD5B2D0-4B5B-4754-BEF8-2DF9576D4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574585">
      <w:bodyDiv w:val="1"/>
      <w:marLeft w:val="0"/>
      <w:marRight w:val="0"/>
      <w:marTop w:val="0"/>
      <w:marBottom w:val="0"/>
      <w:divBdr>
        <w:top w:val="none" w:sz="0" w:space="0" w:color="auto"/>
        <w:left w:val="none" w:sz="0" w:space="0" w:color="auto"/>
        <w:bottom w:val="none" w:sz="0" w:space="0" w:color="auto"/>
        <w:right w:val="none" w:sz="0" w:space="0" w:color="auto"/>
      </w:divBdr>
      <w:divsChild>
        <w:div w:id="512886372">
          <w:marLeft w:val="0"/>
          <w:marRight w:val="0"/>
          <w:marTop w:val="0"/>
          <w:marBottom w:val="0"/>
          <w:divBdr>
            <w:top w:val="none" w:sz="0" w:space="0" w:color="auto"/>
            <w:left w:val="none" w:sz="0" w:space="0" w:color="auto"/>
            <w:bottom w:val="none" w:sz="0" w:space="0" w:color="auto"/>
            <w:right w:val="none" w:sz="0" w:space="0" w:color="auto"/>
          </w:divBdr>
          <w:divsChild>
            <w:div w:id="374046259">
              <w:marLeft w:val="0"/>
              <w:marRight w:val="0"/>
              <w:marTop w:val="0"/>
              <w:marBottom w:val="0"/>
              <w:divBdr>
                <w:top w:val="none" w:sz="0" w:space="0" w:color="auto"/>
                <w:left w:val="none" w:sz="0" w:space="0" w:color="auto"/>
                <w:bottom w:val="none" w:sz="0" w:space="0" w:color="auto"/>
                <w:right w:val="none" w:sz="0" w:space="0" w:color="auto"/>
              </w:divBdr>
              <w:divsChild>
                <w:div w:id="257566500">
                  <w:marLeft w:val="0"/>
                  <w:marRight w:val="0"/>
                  <w:marTop w:val="0"/>
                  <w:marBottom w:val="0"/>
                  <w:divBdr>
                    <w:top w:val="none" w:sz="0" w:space="0" w:color="auto"/>
                    <w:left w:val="none" w:sz="0" w:space="0" w:color="auto"/>
                    <w:bottom w:val="none" w:sz="0" w:space="0" w:color="auto"/>
                    <w:right w:val="none" w:sz="0" w:space="0" w:color="auto"/>
                  </w:divBdr>
                  <w:divsChild>
                    <w:div w:id="1072658884">
                      <w:marLeft w:val="0"/>
                      <w:marRight w:val="0"/>
                      <w:marTop w:val="0"/>
                      <w:marBottom w:val="0"/>
                      <w:divBdr>
                        <w:top w:val="none" w:sz="0" w:space="0" w:color="auto"/>
                        <w:left w:val="none" w:sz="0" w:space="0" w:color="auto"/>
                        <w:bottom w:val="none" w:sz="0" w:space="0" w:color="auto"/>
                        <w:right w:val="none" w:sz="0" w:space="0" w:color="auto"/>
                      </w:divBdr>
                      <w:divsChild>
                        <w:div w:id="1050377647">
                          <w:marLeft w:val="0"/>
                          <w:marRight w:val="0"/>
                          <w:marTop w:val="480"/>
                          <w:marBottom w:val="0"/>
                          <w:divBdr>
                            <w:top w:val="none" w:sz="0" w:space="0" w:color="auto"/>
                            <w:left w:val="none" w:sz="0" w:space="0" w:color="auto"/>
                            <w:bottom w:val="none" w:sz="0" w:space="0" w:color="auto"/>
                            <w:right w:val="none" w:sz="0" w:space="0" w:color="auto"/>
                          </w:divBdr>
                          <w:divsChild>
                            <w:div w:id="253323626">
                              <w:marLeft w:val="5520"/>
                              <w:marRight w:val="960"/>
                              <w:marTop w:val="0"/>
                              <w:marBottom w:val="0"/>
                              <w:divBdr>
                                <w:top w:val="none" w:sz="0" w:space="0" w:color="auto"/>
                                <w:left w:val="none" w:sz="0" w:space="0" w:color="auto"/>
                                <w:bottom w:val="none" w:sz="0" w:space="0" w:color="auto"/>
                                <w:right w:val="none" w:sz="0" w:space="0" w:color="auto"/>
                              </w:divBdr>
                              <w:divsChild>
                                <w:div w:id="677657419">
                                  <w:marLeft w:val="0"/>
                                  <w:marRight w:val="0"/>
                                  <w:marTop w:val="0"/>
                                  <w:marBottom w:val="144"/>
                                  <w:divBdr>
                                    <w:top w:val="none" w:sz="0" w:space="0" w:color="BBBBBB"/>
                                    <w:left w:val="none" w:sz="0" w:space="0" w:color="BBBBBB"/>
                                    <w:bottom w:val="single" w:sz="6" w:space="0" w:color="BBBBBB"/>
                                    <w:right w:val="none" w:sz="0" w:space="0" w:color="BBBBBB"/>
                                  </w:divBdr>
                                </w:div>
                                <w:div w:id="26249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87127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891</Words>
  <Characters>5084</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The George Washington University</Company>
  <LinksUpToDate>false</LinksUpToDate>
  <CharactersWithSpaces>5964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Ferguson, Judith Lesa</dc:creator>
  <cp:lastModifiedBy>Mohamed Selhabi</cp:lastModifiedBy>
  <cp:revision>2</cp:revision>
  <dcterms:created xsi:type="dcterms:W3CDTF">2017-04-20T17:53:00Z</dcterms:created>
  <dcterms:modified xsi:type="dcterms:W3CDTF">2017-04-20T17:53:00Z</dcterms:modified>
</cp:coreProperties>
</file>