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ody>
    <w:p>
      <w:pPr>
        <w:jc w:val="center"/>
        <w:spacing w:line="480" w:lineRule="auto"/>
      </w:pPr>
    </w:p>
    <w:p>
      <w:pPr>
        <w:jc w:val="center"/>
        <w:spacing w:line="480" w:lineRule="auto"/>
      </w:pPr>
    </w:p>
    <w:p>
      <w:pPr>
        <w:jc w:val="center"/>
        <w:spacing w:line="480" w:lineRule="auto"/>
      </w:pPr>
    </w:p>
    <w:p>
      <w:pPr>
        <w:jc w:val="center"/>
        <w:spacing w:line="480" w:lineRule="auto"/>
      </w:pPr>
    </w:p>
    <w:p>
      <w:pPr>
        <w:jc w:val="center"/>
        <w:spacing w:line="480" w:lineRule="auto"/>
      </w:pPr>
    </w:p>
    <w:p>
      <w:pPr>
        <w:jc w:val="center"/>
        <w:spacing w:line="480" w:lineRule="auto"/>
      </w:pPr>
    </w:p>
    <w:p>
      <w:pPr>
        <w:jc w:val="center"/>
        <w:spacing w:line="480" w:lineRule="auto"/>
      </w:pPr>
    </w:p>
    <w:p>
      <w:pPr>
        <w:jc w:val="center"/>
        <w:spacing w:line="480" w:lineRule="auto"/>
      </w:pPr>
    </w:p>
    <w:p>
      <w:pPr>
        <w:jc w:val="center"/>
        <w:spacing w:line="480" w:lineRule="auto"/>
      </w:pPr>
      <w:r>
        <w:t>Stock Exchange</w:t>
      </w:r>
    </w:p>
    <w:p>
      <w:pPr>
        <w:jc w:val="center"/>
        <w:spacing w:line="480" w:lineRule="auto"/>
      </w:pPr>
      <w:r>
        <w:rPr>
          <w:rtl w:val="off"/>
        </w:rPr>
        <w:t>Yamont</w:t>
      </w:r>
      <w:r>
        <w:rPr>
          <w:rtl w:val="off"/>
        </w:rPr>
        <w:t xml:space="preserve">i </w:t>
      </w:r>
      <w:r>
        <w:rPr>
          <w:rtl w:val="off"/>
        </w:rPr>
        <w:t>Bank</w:t>
      </w:r>
      <w:r>
        <w:rPr>
          <w:rtl w:val="off"/>
        </w:rPr>
        <w:t xml:space="preserve">s </w:t>
      </w:r>
    </w:p>
    <w:p>
      <w:pPr>
        <w:jc w:val="center"/>
        <w:spacing w:line="480" w:lineRule="auto"/>
      </w:pPr>
      <w:r>
        <w:rPr>
          <w:rtl w:val="off"/>
        </w:rPr>
        <w:t>Muluget</w:t>
      </w:r>
      <w:r>
        <w:rPr>
          <w:rtl w:val="off"/>
        </w:rPr>
        <w:t xml:space="preserve">a </w:t>
      </w:r>
      <w:r>
        <w:rPr>
          <w:rtl w:val="off"/>
        </w:rPr>
        <w:t>Dessi</w:t>
      </w:r>
      <w:r>
        <w:rPr>
          <w:rtl w:val="off"/>
        </w:rPr>
        <w:t>e</w:t>
      </w:r>
    </w:p>
    <w:p>
      <w:pPr>
        <w:jc w:val="center"/>
        <w:spacing w:line="480" w:lineRule="auto"/>
      </w:pPr>
      <w:r>
        <w:rPr>
          <w:rtl w:val="off"/>
        </w:rPr>
        <w:t xml:space="preserve">FIN 534 Financial Management </w:t>
      </w:r>
    </w:p>
    <w:p>
      <w:pPr>
        <w:jc w:val="center"/>
        <w:spacing w:line="480" w:lineRule="auto"/>
      </w:pPr>
      <w:r>
        <w:rPr>
          <w:rtl w:val="off"/>
        </w:rPr>
        <w:t>Apri</w:t>
      </w:r>
      <w:r>
        <w:rPr>
          <w:rtl w:val="off"/>
        </w:rPr>
        <w:t xml:space="preserve">l </w:t>
      </w:r>
      <w:r>
        <w:rPr>
          <w:rtl w:val="off"/>
        </w:rPr>
        <w:t>1</w:t>
      </w:r>
      <w:r>
        <w:rPr>
          <w:rtl w:val="off"/>
        </w:rPr>
        <w:t xml:space="preserve">6, </w:t>
      </w:r>
      <w:r>
        <w:rPr>
          <w:rtl w:val="off"/>
        </w:rPr>
        <w:t>201</w:t>
      </w:r>
      <w:r>
        <w:rPr>
          <w:rtl w:val="off"/>
        </w:rPr>
        <w:t>7</w:t>
      </w:r>
    </w:p>
    <w:p>
      <w:pPr>
        <w:ind w:firstLine="720"/>
        <w:spacing w:line="480" w:lineRule="auto"/>
      </w:pPr>
    </w:p>
    <w:p>
      <w:pPr>
        <w:ind w:firstLine="720"/>
        <w:spacing w:line="480" w:lineRule="auto"/>
      </w:pPr>
    </w:p>
    <w:p>
      <w:pPr>
        <w:ind w:firstLine="720"/>
        <w:spacing w:line="480" w:lineRule="auto"/>
      </w:pPr>
    </w:p>
    <w:p>
      <w:pPr>
        <w:ind w:firstLine="720"/>
        <w:spacing w:line="480" w:lineRule="auto"/>
      </w:pPr>
    </w:p>
    <w:p>
      <w:pPr>
        <w:ind w:firstLine="720"/>
        <w:spacing w:line="480" w:lineRule="auto"/>
      </w:pPr>
    </w:p>
    <w:p>
      <w:pPr>
        <w:ind w:firstLine="720"/>
        <w:spacing w:line="480" w:lineRule="auto"/>
      </w:pPr>
    </w:p>
    <w:p>
      <w:pPr>
        <w:jc w:val="both"/>
        <w:spacing w:line="480" w:lineRule="auto"/>
      </w:pPr>
    </w:p>
    <w:p>
      <w:pPr>
        <w:jc w:val="both"/>
        <w:spacing w:line="480" w:lineRule="auto"/>
        <w:rPr>
          <w:rtl w:val="off"/>
        </w:rPr>
      </w:pPr>
    </w:p>
    <w:p>
      <w:pPr>
        <w:jc w:val="both"/>
        <w:spacing w:line="480" w:lineRule="auto"/>
        <w:rPr>
          <w:rtl w:val="off"/>
        </w:rPr>
      </w:pPr>
    </w:p>
    <w:p>
      <w:pPr>
        <w:jc w:val="both"/>
        <w:spacing w:line="480" w:lineRule="auto"/>
        <w:rPr>
          <w:rtl w:val="off"/>
        </w:rPr>
      </w:pPr>
    </w:p>
    <w:p>
      <w:pPr>
        <w:jc w:val="both"/>
        <w:spacing w:line="480" w:lineRule="auto"/>
      </w:pPr>
      <w:r>
        <w:t>Question 1</w:t>
      </w:r>
    </w:p>
    <w:p>
      <w:pPr>
        <w:ind w:firstLine="720"/>
        <w:jc w:val="both"/>
        <w:spacing w:line="480" w:lineRule="auto"/>
      </w:pPr>
      <w:r>
        <w:t xml:space="preserve">NYSE (New Stock Security Exchange) and NASDAQ ( The National Association of Security Dealers and Automated Quotations)  are two premium exchange </w:t>
      </w:r>
      <w:r>
        <w:rPr>
          <w:noProof/>
        </w:rPr>
        <w:t>centers</w:t>
      </w:r>
      <w:r>
        <w:t xml:space="preserve"> of the </w:t>
      </w:r>
      <w:r>
        <w:rPr>
          <w:noProof/>
        </w:rPr>
        <w:t>stock</w:t>
      </w:r>
      <w:r>
        <w:t xml:space="preserve"> market in the US. They </w:t>
      </w:r>
      <w:r>
        <w:rPr>
          <w:noProof/>
        </w:rPr>
        <w:t>account</w:t>
      </w:r>
      <w:r>
        <w:t xml:space="preserve"> for most if the related trading which is related to equities in the </w:t>
      </w:r>
      <w:r>
        <w:rPr>
          <w:noProof/>
        </w:rPr>
        <w:t>global</w:t>
      </w:r>
      <w:r>
        <w:t xml:space="preserve"> market and </w:t>
      </w:r>
      <w:r>
        <w:rPr>
          <w:noProof/>
        </w:rPr>
        <w:t>North</w:t>
      </w:r>
      <w:r>
        <w:t xml:space="preserve"> America business. The two are n the same platform as far as the </w:t>
      </w:r>
      <w:r>
        <w:rPr>
          <w:noProof/>
        </w:rPr>
        <w:t>stock</w:t>
      </w:r>
      <w:r>
        <w:t xml:space="preserve"> market is concerned. They have a huge daily trading (Brennan,2013).  </w:t>
      </w:r>
    </w:p>
    <w:p>
      <w:pPr>
        <w:jc w:val="both"/>
        <w:spacing w:line="480" w:lineRule="auto"/>
      </w:pPr>
      <w:r>
        <w:t>Differences and Similarities</w:t>
      </w:r>
    </w:p>
    <w:p>
      <w:pPr>
        <w:ind w:firstLine="720"/>
        <w:jc w:val="both"/>
        <w:spacing w:line="480" w:lineRule="auto"/>
        <w:rPr>
          <w:noProof/>
        </w:rPr>
      </w:pPr>
      <w:r>
        <w:t xml:space="preserve">NASDAQ was launched in 1971 while NYSE was launched in 1792. Second, NYSE constitutes an auction style securities market where brokers purchase stock on behalf of firms or clients. On the other </w:t>
      </w:r>
      <w:r>
        <w:rPr>
          <w:noProof/>
        </w:rPr>
        <w:t>hand,</w:t>
      </w:r>
      <w:r>
        <w:t xml:space="preserve"> NASDAQ constitutes a </w:t>
      </w:r>
      <w:r>
        <w:rPr>
          <w:noProof/>
        </w:rPr>
        <w:t>dealer</w:t>
      </w:r>
      <w:r>
        <w:t xml:space="preserve"> based securities market </w:t>
      </w:r>
      <w:r>
        <w:rPr>
          <w:noProof/>
        </w:rPr>
        <w:t>where-by</w:t>
      </w:r>
      <w:r>
        <w:t xml:space="preserve"> the dealers sell stocks directly to the investors or firms through the internet or </w:t>
      </w:r>
      <w:r>
        <w:rPr>
          <w:noProof/>
        </w:rPr>
        <w:t>through</w:t>
      </w:r>
      <w:r>
        <w:t xml:space="preserve"> the telephone. NASDAQ takes place through the internet or electronically while selling and purchasing at NYSE takes place on the floor of the exchange itself or in person. The entry fee that a company </w:t>
      </w:r>
      <w:r>
        <w:rPr>
          <w:noProof/>
        </w:rPr>
        <w:t>is expect</w:t>
      </w:r>
      <w:r>
        <w:t xml:space="preserve">ed to pay NASDAQ is only $50,000 to $75,000 while on NYSE is up to $500,000. </w:t>
      </w:r>
      <w:r>
        <w:rPr>
          <w:noProof/>
        </w:rPr>
        <w:t>The two stock exchange markets are involved with equity exchanges and also they try to match buyers with sellers or supply with demand (</w:t>
      </w:r>
      <w:r>
        <w:t>Connolly, 2010)</w:t>
      </w:r>
      <w:r>
        <w:rPr>
          <w:noProof/>
        </w:rPr>
        <w:t>. The two stocks chisen from each stock exchange are as follows;</w:t>
      </w:r>
    </w:p>
    <w:p>
      <w:pPr>
        <w:jc w:val="both"/>
        <w:spacing w:line="480" w:lineRule="auto"/>
      </w:pPr>
      <w:r>
        <w:t>NYSE – Coca cola</w:t>
      </w:r>
    </w:p>
    <w:p>
      <w:pPr>
        <w:jc w:val="both"/>
        <w:spacing w:line="480" w:lineRule="auto"/>
      </w:pPr>
      <w:r>
        <w:t>Nasdaq – NVIDIA Corporation</w:t>
      </w:r>
    </w:p>
    <w:p>
      <w:pPr>
        <w:jc w:val="both"/>
        <w:spacing w:line="480" w:lineRule="auto"/>
        <w:rPr>
          <w:noProof/>
        </w:rPr>
      </w:pPr>
      <w:r>
        <w:rPr>
          <w:noProof/>
        </w:rPr>
        <w:t>Question 2</w:t>
      </w:r>
    </w:p>
    <w:p>
      <w:pPr>
        <w:jc w:val="both"/>
        <w:spacing w:line="480" w:lineRule="auto"/>
        <w:rPr>
          <w:noProof/>
        </w:rPr>
      </w:pPr>
      <w:r>
        <w:rPr>
          <w:noProof/>
        </w:rPr>
        <w:t xml:space="preserve">Free cash flow </w:t>
      </w:r>
    </w:p>
    <w:p>
      <w:pPr>
        <w:ind w:firstLine="720"/>
        <w:jc w:val="both"/>
        <w:spacing w:line="480" w:lineRule="auto"/>
      </w:pPr>
      <w:r>
        <w:t xml:space="preserve">Free cash flow is the amount of money that is generated by a company which is </w:t>
      </w:r>
      <w:r>
        <w:rPr>
          <w:noProof/>
        </w:rPr>
        <w:t>available</w:t>
      </w:r>
      <w:r>
        <w:t xml:space="preserve"> for distribution </w:t>
      </w:r>
      <w:r>
        <w:rPr>
          <w:noProof/>
        </w:rPr>
        <w:t>to</w:t>
      </w:r>
      <w:r>
        <w:t xml:space="preserve"> its security holders. According to lots of investors and stakeholders, free </w:t>
      </w:r>
      <w:r>
        <w:rPr>
          <w:noProof/>
        </w:rPr>
        <w:t>cash</w:t>
      </w:r>
      <w:r>
        <w:t xml:space="preserve"> flow is the best tool as it is an indication of the company’s ability to generate cash.</w:t>
      </w:r>
    </w:p>
    <w:p>
      <w:pPr>
        <w:jc w:val="both"/>
        <w:spacing w:line="480" w:lineRule="auto"/>
      </w:pPr>
      <w:r>
        <w:t xml:space="preserve">The formula used is Net Income + Depreciation/Amortization + (Interest Expense – Interest Income ) * (1 – Tax Rate) – </w:t>
      </w:r>
      <w:r>
        <w:rPr>
          <w:noProof/>
        </w:rPr>
        <w:t>Changes</w:t>
      </w:r>
      <w:r>
        <w:t xml:space="preserve"> in Working Capital – Capital expenditure=  Cash Flow </w:t>
      </w:r>
    </w:p>
    <w:p>
      <w:pPr>
        <w:jc w:val="both"/>
        <w:spacing w:line="480" w:lineRule="auto"/>
      </w:pPr>
      <w:r>
        <w:tab/>
      </w:r>
      <w:r>
        <w:t>Coca cola Company and NVIDIA Corporation has the following free cash flows reported in 2013 and 2014 financial year.</w:t>
      </w:r>
    </w:p>
    <w:p>
      <w:pPr>
        <w:pStyle w:val="NormalWeb"/>
        <w:jc w:val="both"/>
        <w:spacing w:after="0" w:afterAutospacing="0" w:before="0" w:beforeAutospacing="0" w:line="480" w:lineRule="auto"/>
      </w:pPr>
      <w:r>
        <w:t>Coca cola free cash flows in 2013 – 8,477 million</w:t>
      </w:r>
    </w:p>
    <w:p>
      <w:pPr>
        <w:pStyle w:val="NormalWeb"/>
        <w:jc w:val="both"/>
        <w:spacing w:after="0" w:afterAutospacing="0" w:before="0" w:beforeAutospacing="0" w:line="480" w:lineRule="auto"/>
      </w:pPr>
      <w:r>
        <w:t>Coca cola free cash flows in 2014 – 8,812 million</w:t>
      </w:r>
    </w:p>
    <w:p>
      <w:pPr>
        <w:pStyle w:val="NormalWeb"/>
        <w:jc w:val="both"/>
        <w:spacing w:after="0" w:afterAutospacing="0" w:before="0" w:beforeAutospacing="0" w:line="480" w:lineRule="auto"/>
      </w:pPr>
      <w:r>
        <w:t>NVIDIA Corporation free cash flows in 2013 – 640.86 million</w:t>
      </w:r>
    </w:p>
    <w:p>
      <w:pPr>
        <w:pStyle w:val="NormalWeb"/>
        <w:jc w:val="both"/>
        <w:spacing w:after="0" w:afterAutospacing="0" w:before="0" w:beforeAutospacing="0" w:line="480" w:lineRule="auto"/>
      </w:pPr>
      <w:r>
        <w:t>NVIDIA Corporation free cash flows in 2014 – 579.96 million</w:t>
      </w:r>
    </w:p>
    <w:p>
      <w:pPr>
        <w:jc w:val="both"/>
        <w:spacing w:line="480" w:lineRule="auto"/>
      </w:pPr>
      <w:r>
        <w:tab/>
      </w:r>
      <w:r>
        <w:t>The results show that coca cola company free cash flows increased from 2013 to 2014. The result imply that in 2014, the company had more cash left after catering for expenses which were used in maintaining the asset base of the company, this is a good indicator that the company performance is improving, and investors in various occasions always check on the changes in regard to free cash before making an investment decision. On the other hand, free cash flows for NVIDIA Corporation decreased from 2013 to 2014; thus the company was a little constrained in expanding production and other important expenditures since it had less cash.</w:t>
      </w:r>
    </w:p>
    <w:p>
      <w:pPr>
        <w:jc w:val="both"/>
        <w:spacing w:line="480" w:lineRule="auto"/>
      </w:pPr>
      <w:r>
        <w:t>Question 3</w:t>
      </w:r>
    </w:p>
    <w:p>
      <w:pPr>
        <w:pStyle w:val="NormalWeb"/>
        <w:ind w:left="360"/>
        <w:spacing w:after="0" w:afterAutospacing="0" w:before="0" w:beforeAutospacing="0" w:line="480" w:lineRule="auto"/>
      </w:pPr>
      <w:r>
        <w:t>COCA COLA COMPANY</w:t>
      </w:r>
    </w:p>
    <w:tbl>
      <w:tblPr>
        <w:tblW w:w="8827" w:type="dxa"/>
        <w:tblInd w:w="108" w:type="dxa"/>
        <w:tblLook w:val="04A0" w:firstRow="1" w:lastRow="0" w:firstColumn="1" w:lastColumn="0" w:noHBand="0" w:noVBand="1"/>
      </w:tblPr>
      <w:tblGrid>
        <w:gridCol w:w="4980"/>
        <w:gridCol w:w="284"/>
        <w:gridCol w:w="1858"/>
        <w:gridCol w:w="1705"/>
      </w:tblGrid>
      <w:tr>
        <w:trPr>
          <w:trHeight w:val="528" w:hRule="atLeast"/>
        </w:trPr>
        <w:tc>
          <w:tcPr>
            <w:tcW w:w="5264" w:type="dxa"/>
            <w:gridSpan w:val="2"/>
            <w:tcBorders>
              <w:top w:val="nil"/>
              <w:left w:val="nil"/>
              <w:bottom w:val="nil"/>
              <w:right w:val="nil"/>
            </w:tcBorders>
            <w:shd w:val="clear" w:color="auto" w:fill="auto"/>
            <w:vAlign w:val="bottom"/>
            <w:hideMark/>
          </w:tcPr>
          <w:p>
            <w:pPr>
              <w:spacing w:line="480" w:lineRule="auto"/>
              <w:rPr>
                <w:bCs/>
                <w:color w:val="000000"/>
              </w:rPr>
            </w:pPr>
            <w:r>
              <w:rPr>
                <w:bCs/>
                <w:color w:val="000000"/>
              </w:rPr>
              <w:t xml:space="preserve">LIQUIDITY RATIOS </w:t>
            </w:r>
          </w:p>
        </w:tc>
        <w:tc>
          <w:tcPr>
            <w:tcW w:w="1858" w:type="dxa"/>
            <w:tcBorders>
              <w:top w:val="nil"/>
              <w:left w:val="nil"/>
              <w:bottom w:val="nil"/>
              <w:right w:val="nil"/>
            </w:tcBorders>
            <w:shd w:val="clear" w:color="auto" w:fill="auto"/>
            <w:vAlign w:val="bottom"/>
            <w:hideMark/>
          </w:tcPr>
          <w:p>
            <w:pPr>
              <w:spacing w:line="480" w:lineRule="auto"/>
              <w:rPr>
                <w:bCs/>
                <w:u w:val="single" w:color="auto"/>
              </w:rPr>
            </w:pPr>
            <w:r>
              <w:rPr>
                <w:bCs/>
                <w:u w:val="single" w:color="auto"/>
              </w:rPr>
              <w:t xml:space="preserve">                   2013                           </w:t>
            </w:r>
          </w:p>
        </w:tc>
        <w:tc>
          <w:tcPr>
            <w:tcW w:w="1705" w:type="dxa"/>
            <w:tcBorders>
              <w:top w:val="nil"/>
              <w:left w:val="nil"/>
              <w:bottom w:val="nil"/>
              <w:right w:val="nil"/>
            </w:tcBorders>
            <w:shd w:val="clear" w:color="auto" w:fill="auto"/>
            <w:vAlign w:val="bottom"/>
            <w:hideMark/>
          </w:tcPr>
          <w:p>
            <w:pPr>
              <w:spacing w:line="480" w:lineRule="auto"/>
              <w:rPr>
                <w:bCs/>
                <w:u w:val="single" w:color="auto"/>
              </w:rPr>
            </w:pPr>
            <w:r>
              <w:rPr>
                <w:bCs/>
                <w:u w:val="single" w:color="auto"/>
              </w:rPr>
              <w:t xml:space="preserve">                2014</w:t>
            </w:r>
          </w:p>
        </w:tc>
      </w:tr>
      <w:tr>
        <w:trPr>
          <w:trHeight w:val="528" w:hRule="atLeast"/>
        </w:trPr>
        <w:tc>
          <w:tcPr>
            <w:tcW w:w="4980" w:type="dxa"/>
            <w:tcBorders>
              <w:top w:val="nil"/>
              <w:left w:val="nil"/>
              <w:bottom w:val="nil"/>
              <w:right w:val="nil"/>
            </w:tcBorders>
            <w:shd w:val="clear" w:color="auto" w:fill="auto"/>
            <w:vAlign w:val="bottom"/>
            <w:hideMark/>
          </w:tcPr>
          <w:p>
            <w:pPr>
              <w:spacing w:line="480" w:lineRule="auto"/>
              <w:rPr>
                <w:bCs/>
              </w:rPr>
            </w:pPr>
            <w:r>
              <w:rPr>
                <w:bCs/>
              </w:rPr>
              <w:t xml:space="preserve">  Current Ratio= current assets/current liabilities</w:t>
            </w:r>
          </w:p>
        </w:tc>
        <w:tc>
          <w:tcPr>
            <w:tcW w:w="284" w:type="dxa"/>
            <w:tcBorders>
              <w:top w:val="nil"/>
              <w:left w:val="nil"/>
              <w:bottom w:val="nil"/>
              <w:right w:val="nil"/>
            </w:tcBorders>
            <w:shd w:val="clear" w:color="auto" w:fill="auto"/>
            <w:vAlign w:val="bottom"/>
            <w:hideMark/>
          </w:tcPr>
          <w:p>
            <w:pPr>
              <w:spacing w:line="480" w:lineRule="auto"/>
              <w:rPr>
                <w:bCs/>
              </w:rPr>
            </w:pPr>
          </w:p>
        </w:tc>
        <w:tc>
          <w:tcPr>
            <w:tcW w:w="1858" w:type="dxa"/>
            <w:tcBorders>
              <w:top w:val="nil"/>
              <w:left w:val="nil"/>
              <w:bottom w:val="nil"/>
              <w:right w:val="nil"/>
            </w:tcBorders>
            <w:shd w:val="clear" w:color="auto" w:fill="auto"/>
            <w:vAlign w:val="bottom"/>
            <w:hideMark/>
          </w:tcPr>
          <w:p>
            <w:pPr>
              <w:jc w:val="right"/>
              <w:spacing w:line="480" w:lineRule="auto"/>
              <w:rPr>
                <w:bCs/>
              </w:rPr>
            </w:pPr>
            <w:r>
              <w:rPr>
                <w:bCs/>
              </w:rPr>
              <w:t>1.13</w:t>
            </w:r>
          </w:p>
        </w:tc>
        <w:tc>
          <w:tcPr>
            <w:tcW w:w="1705" w:type="dxa"/>
            <w:tcBorders>
              <w:top w:val="nil"/>
              <w:left w:val="nil"/>
              <w:bottom w:val="nil"/>
              <w:right w:val="nil"/>
            </w:tcBorders>
            <w:shd w:val="clear" w:color="auto" w:fill="auto"/>
            <w:vAlign w:val="bottom"/>
            <w:hideMark/>
          </w:tcPr>
          <w:p>
            <w:pPr>
              <w:jc w:val="right"/>
              <w:spacing w:line="480" w:lineRule="auto"/>
              <w:rPr>
                <w:bCs/>
              </w:rPr>
            </w:pPr>
            <w:r>
              <w:rPr>
                <w:bCs/>
              </w:rPr>
              <w:t>1.02</w:t>
            </w:r>
          </w:p>
        </w:tc>
      </w:tr>
      <w:tr>
        <w:trPr>
          <w:trHeight w:val="528" w:hRule="atLeast"/>
        </w:trPr>
        <w:tc>
          <w:tcPr>
            <w:tcW w:w="4980" w:type="dxa"/>
            <w:tcBorders>
              <w:top w:val="nil"/>
              <w:left w:val="nil"/>
              <w:bottom w:val="nil"/>
              <w:right w:val="nil"/>
            </w:tcBorders>
            <w:shd w:val="clear" w:color="auto" w:fill="auto"/>
            <w:vAlign w:val="bottom"/>
            <w:hideMark/>
          </w:tcPr>
          <w:p>
            <w:pPr>
              <w:spacing w:line="480" w:lineRule="auto"/>
              <w:rPr>
                <w:bCs/>
              </w:rPr>
            </w:pPr>
            <w:r>
              <w:rPr>
                <w:bCs/>
              </w:rPr>
              <w:t xml:space="preserve">  Quick Ratio = current assets-inventory/current liabilities</w:t>
            </w:r>
          </w:p>
        </w:tc>
        <w:tc>
          <w:tcPr>
            <w:tcW w:w="284" w:type="dxa"/>
            <w:tcBorders>
              <w:top w:val="nil"/>
              <w:left w:val="nil"/>
              <w:bottom w:val="nil"/>
              <w:right w:val="nil"/>
            </w:tcBorders>
            <w:shd w:val="clear" w:color="auto" w:fill="auto"/>
            <w:vAlign w:val="bottom"/>
            <w:hideMark/>
          </w:tcPr>
          <w:p>
            <w:pPr>
              <w:spacing w:line="480" w:lineRule="auto"/>
              <w:rPr>
                <w:bCs/>
              </w:rPr>
            </w:pPr>
          </w:p>
        </w:tc>
        <w:tc>
          <w:tcPr>
            <w:tcW w:w="1858" w:type="dxa"/>
            <w:tcBorders>
              <w:top w:val="nil"/>
              <w:left w:val="nil"/>
              <w:bottom w:val="nil"/>
              <w:right w:val="nil"/>
            </w:tcBorders>
            <w:shd w:val="clear" w:color="auto" w:fill="auto"/>
            <w:vAlign w:val="bottom"/>
            <w:hideMark/>
          </w:tcPr>
          <w:p>
            <w:pPr>
              <w:jc w:val="right"/>
              <w:spacing w:line="480" w:lineRule="auto"/>
              <w:rPr>
                <w:bCs/>
              </w:rPr>
            </w:pPr>
            <w:r>
              <w:rPr>
                <w:bCs/>
              </w:rPr>
              <w:t>1.01</w:t>
            </w:r>
          </w:p>
        </w:tc>
        <w:tc>
          <w:tcPr>
            <w:tcW w:w="1705" w:type="dxa"/>
            <w:tcBorders>
              <w:top w:val="nil"/>
              <w:left w:val="nil"/>
              <w:bottom w:val="nil"/>
              <w:right w:val="nil"/>
            </w:tcBorders>
            <w:shd w:val="clear" w:color="auto" w:fill="auto"/>
            <w:vAlign w:val="bottom"/>
            <w:hideMark/>
          </w:tcPr>
          <w:p>
            <w:pPr>
              <w:jc w:val="right"/>
              <w:spacing w:line="480" w:lineRule="auto"/>
              <w:rPr>
                <w:bCs/>
              </w:rPr>
            </w:pPr>
            <w:r>
              <w:rPr>
                <w:bCs/>
              </w:rPr>
              <w:t>0.92</w:t>
            </w:r>
          </w:p>
        </w:tc>
      </w:tr>
      <w:tr>
        <w:trPr>
          <w:trHeight w:val="528" w:hRule="atLeast"/>
        </w:trPr>
        <w:tc>
          <w:tcPr>
            <w:tcW w:w="7122" w:type="dxa"/>
            <w:gridSpan w:val="3"/>
            <w:tcBorders>
              <w:top w:val="nil"/>
              <w:left w:val="nil"/>
              <w:bottom w:val="nil"/>
              <w:right w:val="nil"/>
            </w:tcBorders>
            <w:shd w:val="clear" w:color="auto" w:fill="auto"/>
            <w:vAlign w:val="bottom"/>
            <w:hideMark/>
          </w:tcPr>
          <w:p>
            <w:pPr>
              <w:spacing w:line="480" w:lineRule="auto"/>
              <w:rPr>
                <w:bCs/>
                <w:color w:val="000000"/>
              </w:rPr>
            </w:pPr>
            <w:r>
              <w:rPr>
                <w:bCs/>
                <w:color w:val="000000"/>
              </w:rPr>
              <w:t xml:space="preserve">ASSET MANAGEMENT RATIOS </w:t>
            </w:r>
          </w:p>
        </w:tc>
        <w:tc>
          <w:tcPr>
            <w:tcW w:w="1705" w:type="dxa"/>
            <w:tcBorders>
              <w:top w:val="nil"/>
              <w:left w:val="nil"/>
              <w:bottom w:val="nil"/>
              <w:right w:val="nil"/>
            </w:tcBorders>
            <w:shd w:val="clear" w:color="auto" w:fill="auto"/>
            <w:vAlign w:val="bottom"/>
            <w:hideMark/>
          </w:tcPr>
          <w:p>
            <w:pPr>
              <w:spacing w:line="480" w:lineRule="auto"/>
              <w:rPr>
                <w:bCs/>
                <w:color w:val="000000"/>
              </w:rPr>
            </w:pPr>
          </w:p>
        </w:tc>
      </w:tr>
      <w:tr>
        <w:trPr>
          <w:trHeight w:val="528" w:hRule="atLeast"/>
        </w:trPr>
        <w:tc>
          <w:tcPr>
            <w:tcW w:w="5264" w:type="dxa"/>
            <w:gridSpan w:val="2"/>
            <w:tcBorders>
              <w:top w:val="nil"/>
              <w:left w:val="nil"/>
              <w:bottom w:val="nil"/>
              <w:right w:val="nil"/>
            </w:tcBorders>
            <w:shd w:val="clear" w:color="auto" w:fill="auto"/>
            <w:vAlign w:val="bottom"/>
            <w:hideMark/>
          </w:tcPr>
          <w:p>
            <w:pPr>
              <w:spacing w:line="480" w:lineRule="auto"/>
              <w:rPr>
                <w:bCs/>
              </w:rPr>
            </w:pPr>
            <w:r>
              <w:rPr>
                <w:bCs/>
              </w:rPr>
              <w:t xml:space="preserve">  Inventory Turnover = cost of goods sold/ average inventory</w:t>
            </w:r>
          </w:p>
        </w:tc>
        <w:tc>
          <w:tcPr>
            <w:tcW w:w="1858" w:type="dxa"/>
            <w:tcBorders>
              <w:top w:val="nil"/>
              <w:left w:val="nil"/>
              <w:bottom w:val="nil"/>
              <w:right w:val="nil"/>
            </w:tcBorders>
            <w:shd w:val="clear" w:color="auto" w:fill="auto"/>
            <w:vAlign w:val="bottom"/>
            <w:hideMark/>
          </w:tcPr>
          <w:p>
            <w:pPr>
              <w:jc w:val="right"/>
              <w:spacing w:line="480" w:lineRule="auto"/>
              <w:rPr>
                <w:bCs/>
              </w:rPr>
            </w:pPr>
            <w:r>
              <w:rPr>
                <w:bCs/>
              </w:rPr>
              <w:t>5.75</w:t>
            </w:r>
          </w:p>
        </w:tc>
        <w:tc>
          <w:tcPr>
            <w:tcW w:w="1705" w:type="dxa"/>
            <w:tcBorders>
              <w:top w:val="nil"/>
              <w:left w:val="nil"/>
              <w:bottom w:val="nil"/>
              <w:right w:val="nil"/>
            </w:tcBorders>
            <w:shd w:val="clear" w:color="auto" w:fill="auto"/>
            <w:vAlign w:val="bottom"/>
            <w:hideMark/>
          </w:tcPr>
          <w:p>
            <w:pPr>
              <w:jc w:val="right"/>
              <w:spacing w:line="480" w:lineRule="auto"/>
              <w:rPr>
                <w:bCs/>
              </w:rPr>
            </w:pPr>
            <w:r>
              <w:rPr>
                <w:bCs/>
              </w:rPr>
              <w:t>5.61</w:t>
            </w:r>
          </w:p>
        </w:tc>
      </w:tr>
      <w:tr>
        <w:trPr>
          <w:trHeight w:val="528" w:hRule="atLeast"/>
        </w:trPr>
        <w:tc>
          <w:tcPr>
            <w:tcW w:w="5264" w:type="dxa"/>
            <w:gridSpan w:val="2"/>
            <w:tcBorders>
              <w:top w:val="nil"/>
              <w:left w:val="nil"/>
              <w:bottom w:val="nil"/>
              <w:right w:val="nil"/>
            </w:tcBorders>
            <w:shd w:val="clear" w:color="auto" w:fill="auto"/>
            <w:vAlign w:val="bottom"/>
            <w:hideMark/>
          </w:tcPr>
          <w:p>
            <w:pPr>
              <w:spacing w:line="480" w:lineRule="auto"/>
              <w:rPr>
                <w:bCs/>
              </w:rPr>
            </w:pPr>
            <w:r>
              <w:rPr>
                <w:bCs/>
              </w:rPr>
              <w:t xml:space="preserve">  Accounts receivable Turnover = net sales/average accounts receivable</w:t>
            </w:r>
          </w:p>
        </w:tc>
        <w:tc>
          <w:tcPr>
            <w:tcW w:w="1858" w:type="dxa"/>
            <w:tcBorders>
              <w:top w:val="nil"/>
              <w:left w:val="nil"/>
              <w:bottom w:val="nil"/>
              <w:right w:val="nil"/>
            </w:tcBorders>
            <w:shd w:val="clear" w:color="auto" w:fill="auto"/>
            <w:vAlign w:val="bottom"/>
            <w:hideMark/>
          </w:tcPr>
          <w:p>
            <w:pPr>
              <w:jc w:val="right"/>
              <w:spacing w:line="480" w:lineRule="auto"/>
              <w:rPr>
                <w:bCs/>
              </w:rPr>
            </w:pPr>
            <w:r>
              <w:rPr>
                <w:bCs/>
              </w:rPr>
              <w:t>9.97</w:t>
            </w:r>
          </w:p>
        </w:tc>
        <w:tc>
          <w:tcPr>
            <w:tcW w:w="1705" w:type="dxa"/>
            <w:tcBorders>
              <w:top w:val="nil"/>
              <w:left w:val="nil"/>
              <w:bottom w:val="nil"/>
              <w:right w:val="nil"/>
            </w:tcBorders>
            <w:shd w:val="clear" w:color="auto" w:fill="auto"/>
            <w:vAlign w:val="bottom"/>
            <w:hideMark/>
          </w:tcPr>
          <w:p>
            <w:pPr>
              <w:jc w:val="right"/>
              <w:spacing w:line="480" w:lineRule="auto"/>
              <w:rPr>
                <w:bCs/>
              </w:rPr>
            </w:pPr>
            <w:r>
              <w:rPr>
                <w:bCs/>
              </w:rPr>
              <w:t>9.85</w:t>
            </w:r>
          </w:p>
        </w:tc>
      </w:tr>
      <w:tr>
        <w:trPr>
          <w:trHeight w:val="528" w:hRule="atLeast"/>
        </w:trPr>
        <w:tc>
          <w:tcPr>
            <w:tcW w:w="5264" w:type="dxa"/>
            <w:gridSpan w:val="2"/>
            <w:tcBorders>
              <w:top w:val="nil"/>
              <w:left w:val="nil"/>
              <w:bottom w:val="nil"/>
              <w:right w:val="nil"/>
            </w:tcBorders>
            <w:shd w:val="clear" w:color="auto" w:fill="auto"/>
            <w:vAlign w:val="bottom"/>
            <w:hideMark/>
          </w:tcPr>
          <w:p>
            <w:pPr>
              <w:spacing w:line="480" w:lineRule="auto"/>
              <w:rPr>
                <w:bCs/>
              </w:rPr>
            </w:pPr>
          </w:p>
          <w:p>
            <w:pPr>
              <w:spacing w:line="480" w:lineRule="auto"/>
              <w:rPr>
                <w:bCs/>
              </w:rPr>
            </w:pPr>
            <w:r>
              <w:rPr>
                <w:bCs/>
              </w:rPr>
              <w:t xml:space="preserve">PROFITABILITY RATIOS </w:t>
            </w:r>
          </w:p>
        </w:tc>
        <w:tc>
          <w:tcPr>
            <w:tcW w:w="1858" w:type="dxa"/>
            <w:tcBorders>
              <w:top w:val="nil"/>
              <w:left w:val="nil"/>
              <w:bottom w:val="nil"/>
              <w:right w:val="nil"/>
            </w:tcBorders>
            <w:shd w:val="clear" w:color="auto" w:fill="auto"/>
            <w:vAlign w:val="bottom"/>
            <w:hideMark/>
          </w:tcPr>
          <w:p>
            <w:pPr>
              <w:jc w:val="right"/>
              <w:spacing w:line="480" w:lineRule="auto"/>
              <w:rPr>
                <w:bCs/>
              </w:rPr>
            </w:pPr>
          </w:p>
        </w:tc>
        <w:tc>
          <w:tcPr>
            <w:tcW w:w="1705" w:type="dxa"/>
            <w:tcBorders>
              <w:top w:val="nil"/>
              <w:left w:val="nil"/>
              <w:bottom w:val="nil"/>
              <w:right w:val="nil"/>
            </w:tcBorders>
            <w:shd w:val="clear" w:color="auto" w:fill="auto"/>
            <w:vAlign w:val="bottom"/>
            <w:hideMark/>
          </w:tcPr>
          <w:p>
            <w:pPr>
              <w:jc w:val="right"/>
              <w:spacing w:line="480" w:lineRule="auto"/>
              <w:rPr>
                <w:bCs/>
              </w:rPr>
            </w:pPr>
          </w:p>
        </w:tc>
      </w:tr>
      <w:tr>
        <w:trPr>
          <w:trHeight w:val="528" w:hRule="atLeast"/>
        </w:trPr>
        <w:tc>
          <w:tcPr>
            <w:tcW w:w="4980" w:type="dxa"/>
            <w:tcBorders>
              <w:top w:val="nil"/>
              <w:left w:val="nil"/>
              <w:bottom w:val="nil"/>
              <w:right w:val="nil"/>
            </w:tcBorders>
            <w:shd w:val="clear" w:color="auto" w:fill="auto"/>
            <w:vAlign w:val="bottom"/>
            <w:hideMark/>
          </w:tcPr>
          <w:p>
            <w:pPr>
              <w:spacing w:line="480" w:lineRule="auto"/>
              <w:rPr>
                <w:bCs/>
              </w:rPr>
            </w:pPr>
            <w:r>
              <w:rPr>
                <w:bCs/>
              </w:rPr>
              <w:t xml:space="preserve">  Profit Margin = net income/revenue</w:t>
            </w:r>
          </w:p>
        </w:tc>
        <w:tc>
          <w:tcPr>
            <w:tcW w:w="284" w:type="dxa"/>
            <w:tcBorders>
              <w:top w:val="nil"/>
              <w:left w:val="nil"/>
              <w:bottom w:val="nil"/>
              <w:right w:val="nil"/>
            </w:tcBorders>
            <w:shd w:val="clear" w:color="auto" w:fill="auto"/>
            <w:vAlign w:val="bottom"/>
            <w:hideMark/>
          </w:tcPr>
          <w:p>
            <w:pPr>
              <w:spacing w:line="480" w:lineRule="auto"/>
              <w:rPr>
                <w:bCs/>
              </w:rPr>
            </w:pPr>
          </w:p>
        </w:tc>
        <w:tc>
          <w:tcPr>
            <w:tcW w:w="1858" w:type="dxa"/>
            <w:tcBorders>
              <w:top w:val="nil"/>
              <w:left w:val="nil"/>
              <w:bottom w:val="nil"/>
              <w:right w:val="nil"/>
            </w:tcBorders>
            <w:shd w:val="clear" w:color="auto" w:fill="auto"/>
            <w:vAlign w:val="bottom"/>
            <w:hideMark/>
          </w:tcPr>
          <w:p>
            <w:pPr>
              <w:jc w:val="right"/>
              <w:spacing w:line="480" w:lineRule="auto"/>
              <w:rPr>
                <w:bCs/>
              </w:rPr>
            </w:pPr>
            <w:r>
              <w:rPr>
                <w:bCs/>
              </w:rPr>
              <w:t>18%</w:t>
            </w:r>
          </w:p>
        </w:tc>
        <w:tc>
          <w:tcPr>
            <w:tcW w:w="1705" w:type="dxa"/>
            <w:tcBorders>
              <w:top w:val="nil"/>
              <w:left w:val="nil"/>
              <w:bottom w:val="nil"/>
              <w:right w:val="nil"/>
            </w:tcBorders>
            <w:shd w:val="clear" w:color="auto" w:fill="auto"/>
            <w:vAlign w:val="bottom"/>
            <w:hideMark/>
          </w:tcPr>
          <w:p>
            <w:pPr>
              <w:jc w:val="right"/>
              <w:spacing w:line="480" w:lineRule="auto"/>
              <w:rPr>
                <w:bCs/>
              </w:rPr>
            </w:pPr>
            <w:r>
              <w:rPr>
                <w:bCs/>
              </w:rPr>
              <w:t>15%</w:t>
            </w:r>
          </w:p>
        </w:tc>
      </w:tr>
      <w:tr>
        <w:trPr>
          <w:trHeight w:val="528" w:hRule="atLeast"/>
        </w:trPr>
        <w:tc>
          <w:tcPr>
            <w:tcW w:w="4980" w:type="dxa"/>
            <w:tcBorders>
              <w:top w:val="nil"/>
              <w:left w:val="nil"/>
              <w:bottom w:val="nil"/>
              <w:right w:val="nil"/>
            </w:tcBorders>
            <w:shd w:val="clear" w:color="auto" w:fill="auto"/>
            <w:vAlign w:val="bottom"/>
            <w:hideMark/>
          </w:tcPr>
          <w:p>
            <w:pPr>
              <w:spacing w:line="480" w:lineRule="auto"/>
              <w:rPr>
                <w:bCs/>
              </w:rPr>
            </w:pPr>
            <w:r>
              <w:rPr>
                <w:bCs/>
              </w:rPr>
              <w:t xml:space="preserve">  Return on Equity = net income/shareholder’s equity</w:t>
            </w:r>
          </w:p>
        </w:tc>
        <w:tc>
          <w:tcPr>
            <w:tcW w:w="284" w:type="dxa"/>
            <w:tcBorders>
              <w:top w:val="nil"/>
              <w:left w:val="nil"/>
              <w:bottom w:val="nil"/>
              <w:right w:val="nil"/>
            </w:tcBorders>
            <w:shd w:val="clear" w:color="auto" w:fill="auto"/>
            <w:vAlign w:val="bottom"/>
            <w:hideMark/>
          </w:tcPr>
          <w:p>
            <w:pPr>
              <w:spacing w:line="480" w:lineRule="auto"/>
              <w:rPr>
                <w:bCs/>
              </w:rPr>
            </w:pPr>
          </w:p>
        </w:tc>
        <w:tc>
          <w:tcPr>
            <w:tcW w:w="1858" w:type="dxa"/>
            <w:tcBorders>
              <w:top w:val="nil"/>
              <w:left w:val="nil"/>
              <w:bottom w:val="nil"/>
              <w:right w:val="nil"/>
            </w:tcBorders>
            <w:shd w:val="clear" w:color="auto" w:fill="auto"/>
            <w:vAlign w:val="bottom"/>
            <w:hideMark/>
          </w:tcPr>
          <w:p>
            <w:pPr>
              <w:jc w:val="right"/>
              <w:spacing w:line="480" w:lineRule="auto"/>
              <w:rPr>
                <w:bCs/>
              </w:rPr>
            </w:pPr>
            <w:r>
              <w:rPr>
                <w:bCs/>
              </w:rPr>
              <w:t>26%</w:t>
            </w:r>
          </w:p>
        </w:tc>
        <w:tc>
          <w:tcPr>
            <w:tcW w:w="1705" w:type="dxa"/>
            <w:tcBorders>
              <w:top w:val="nil"/>
              <w:left w:val="nil"/>
              <w:bottom w:val="nil"/>
              <w:right w:val="nil"/>
            </w:tcBorders>
            <w:shd w:val="clear" w:color="auto" w:fill="auto"/>
            <w:vAlign w:val="bottom"/>
            <w:hideMark/>
          </w:tcPr>
          <w:p>
            <w:pPr>
              <w:jc w:val="right"/>
              <w:spacing w:line="480" w:lineRule="auto"/>
              <w:rPr>
                <w:bCs/>
              </w:rPr>
            </w:pPr>
            <w:r>
              <w:rPr>
                <w:bCs/>
              </w:rPr>
              <w:t>23%</w:t>
            </w:r>
          </w:p>
        </w:tc>
      </w:tr>
    </w:tbl>
    <w:p>
      <w:pPr>
        <w:pStyle w:val="NormalWeb"/>
        <w:ind w:left="360"/>
        <w:spacing w:after="0" w:afterAutospacing="0" w:before="0" w:beforeAutospacing="0" w:line="480" w:lineRule="auto"/>
      </w:pPr>
      <w:r>
        <w:t>NVIDIA CORPORATIO</w:t>
      </w:r>
    </w:p>
    <w:tbl>
      <w:tblPr>
        <w:tblW w:w="8827" w:type="dxa"/>
        <w:tblInd w:w="108" w:type="dxa"/>
        <w:tblLook w:val="04A0" w:firstRow="1" w:lastRow="0" w:firstColumn="1" w:lastColumn="0" w:noHBand="0" w:noVBand="1"/>
      </w:tblPr>
      <w:tblGrid>
        <w:gridCol w:w="4980"/>
        <w:gridCol w:w="284"/>
        <w:gridCol w:w="1858"/>
        <w:gridCol w:w="1705"/>
      </w:tblGrid>
      <w:tr>
        <w:trPr>
          <w:trHeight w:val="528" w:hRule="atLeast"/>
        </w:trPr>
        <w:tc>
          <w:tcPr>
            <w:tcW w:w="5264" w:type="dxa"/>
            <w:gridSpan w:val="2"/>
            <w:tcBorders>
              <w:top w:val="nil"/>
              <w:left w:val="nil"/>
              <w:bottom w:val="nil"/>
              <w:right w:val="nil"/>
            </w:tcBorders>
            <w:shd w:val="clear" w:color="auto" w:fill="auto"/>
            <w:vAlign w:val="bottom"/>
            <w:hideMark/>
          </w:tcPr>
          <w:p>
            <w:pPr>
              <w:spacing w:line="480" w:lineRule="auto"/>
              <w:rPr>
                <w:bCs/>
                <w:color w:val="000000"/>
              </w:rPr>
            </w:pPr>
            <w:r>
              <w:rPr>
                <w:bCs/>
                <w:color w:val="000000"/>
              </w:rPr>
              <w:t xml:space="preserve">LIQUIDITY RATIOS </w:t>
            </w:r>
          </w:p>
        </w:tc>
        <w:tc>
          <w:tcPr>
            <w:tcW w:w="1858" w:type="dxa"/>
            <w:tcBorders>
              <w:top w:val="nil"/>
              <w:left w:val="nil"/>
              <w:bottom w:val="nil"/>
              <w:right w:val="nil"/>
            </w:tcBorders>
            <w:shd w:val="clear" w:color="auto" w:fill="auto"/>
            <w:vAlign w:val="bottom"/>
            <w:hideMark/>
          </w:tcPr>
          <w:p>
            <w:pPr>
              <w:spacing w:line="480" w:lineRule="auto"/>
              <w:rPr>
                <w:bCs/>
              </w:rPr>
            </w:pPr>
            <w:r>
              <w:rPr>
                <w:bCs/>
              </w:rPr>
              <w:t xml:space="preserve">                   2013                           </w:t>
            </w:r>
          </w:p>
        </w:tc>
        <w:tc>
          <w:tcPr>
            <w:tcW w:w="1705" w:type="dxa"/>
            <w:tcBorders>
              <w:top w:val="nil"/>
              <w:left w:val="nil"/>
              <w:bottom w:val="nil"/>
              <w:right w:val="nil"/>
            </w:tcBorders>
            <w:shd w:val="clear" w:color="auto" w:fill="auto"/>
            <w:vAlign w:val="bottom"/>
            <w:hideMark/>
          </w:tcPr>
          <w:p>
            <w:pPr>
              <w:spacing w:line="480" w:lineRule="auto"/>
              <w:rPr>
                <w:bCs/>
              </w:rPr>
            </w:pPr>
            <w:r>
              <w:rPr>
                <w:bCs/>
              </w:rPr>
              <w:t xml:space="preserve">                2014</w:t>
            </w:r>
          </w:p>
        </w:tc>
      </w:tr>
      <w:tr>
        <w:trPr>
          <w:trHeight w:val="528" w:hRule="atLeast"/>
        </w:trPr>
        <w:tc>
          <w:tcPr>
            <w:tcW w:w="4980" w:type="dxa"/>
            <w:tcBorders>
              <w:top w:val="nil"/>
              <w:left w:val="nil"/>
              <w:bottom w:val="nil"/>
              <w:right w:val="nil"/>
            </w:tcBorders>
            <w:shd w:val="clear" w:color="auto" w:fill="auto"/>
            <w:vAlign w:val="bottom"/>
            <w:hideMark/>
          </w:tcPr>
          <w:p>
            <w:pPr>
              <w:spacing w:line="480" w:lineRule="auto"/>
              <w:rPr>
                <w:bCs/>
              </w:rPr>
            </w:pPr>
            <w:r>
              <w:rPr>
                <w:bCs/>
              </w:rPr>
              <w:t xml:space="preserve">  Current Ratio= current assets/current liabilities</w:t>
            </w:r>
          </w:p>
        </w:tc>
        <w:tc>
          <w:tcPr>
            <w:tcW w:w="284" w:type="dxa"/>
            <w:tcBorders>
              <w:top w:val="nil"/>
              <w:left w:val="nil"/>
              <w:bottom w:val="nil"/>
              <w:right w:val="nil"/>
            </w:tcBorders>
            <w:shd w:val="clear" w:color="auto" w:fill="auto"/>
            <w:vAlign w:val="bottom"/>
            <w:hideMark/>
          </w:tcPr>
          <w:p>
            <w:pPr>
              <w:spacing w:line="480" w:lineRule="auto"/>
              <w:rPr>
                <w:bCs/>
              </w:rPr>
            </w:pPr>
          </w:p>
        </w:tc>
        <w:tc>
          <w:tcPr>
            <w:tcW w:w="1858" w:type="dxa"/>
            <w:tcBorders>
              <w:top w:val="nil"/>
              <w:left w:val="nil"/>
              <w:bottom w:val="nil"/>
              <w:right w:val="nil"/>
            </w:tcBorders>
            <w:shd w:val="clear" w:color="auto" w:fill="auto"/>
            <w:vAlign w:val="bottom"/>
            <w:hideMark/>
          </w:tcPr>
          <w:p>
            <w:pPr>
              <w:jc w:val="right"/>
              <w:spacing w:line="480" w:lineRule="auto"/>
              <w:rPr>
                <w:bCs/>
              </w:rPr>
            </w:pPr>
            <w:r>
              <w:rPr>
                <w:bCs/>
              </w:rPr>
              <w:t>4.9</w:t>
            </w:r>
          </w:p>
        </w:tc>
        <w:tc>
          <w:tcPr>
            <w:tcW w:w="1705" w:type="dxa"/>
            <w:tcBorders>
              <w:top w:val="nil"/>
              <w:left w:val="nil"/>
              <w:bottom w:val="nil"/>
              <w:right w:val="nil"/>
            </w:tcBorders>
            <w:shd w:val="clear" w:color="auto" w:fill="auto"/>
            <w:vAlign w:val="bottom"/>
            <w:hideMark/>
          </w:tcPr>
          <w:p>
            <w:pPr>
              <w:jc w:val="right"/>
              <w:spacing w:line="480" w:lineRule="auto"/>
              <w:rPr>
                <w:bCs/>
              </w:rPr>
            </w:pPr>
            <w:r>
              <w:rPr>
                <w:bCs/>
              </w:rPr>
              <w:t>5.95</w:t>
            </w:r>
          </w:p>
        </w:tc>
      </w:tr>
      <w:tr>
        <w:trPr>
          <w:trHeight w:val="528" w:hRule="atLeast"/>
        </w:trPr>
        <w:tc>
          <w:tcPr>
            <w:tcW w:w="4980" w:type="dxa"/>
            <w:tcBorders>
              <w:top w:val="nil"/>
              <w:left w:val="nil"/>
              <w:bottom w:val="nil"/>
              <w:right w:val="nil"/>
            </w:tcBorders>
            <w:shd w:val="clear" w:color="auto" w:fill="auto"/>
            <w:vAlign w:val="bottom"/>
            <w:hideMark/>
          </w:tcPr>
          <w:p>
            <w:pPr>
              <w:spacing w:line="480" w:lineRule="auto"/>
              <w:rPr>
                <w:bCs/>
              </w:rPr>
            </w:pPr>
            <w:r>
              <w:rPr>
                <w:bCs/>
              </w:rPr>
              <w:t xml:space="preserve">  Quick Ratio = current assets-inventory/current liabilities</w:t>
            </w:r>
          </w:p>
        </w:tc>
        <w:tc>
          <w:tcPr>
            <w:tcW w:w="284" w:type="dxa"/>
            <w:tcBorders>
              <w:top w:val="nil"/>
              <w:left w:val="nil"/>
              <w:bottom w:val="nil"/>
              <w:right w:val="nil"/>
            </w:tcBorders>
            <w:shd w:val="clear" w:color="auto" w:fill="auto"/>
            <w:vAlign w:val="bottom"/>
            <w:hideMark/>
          </w:tcPr>
          <w:p>
            <w:pPr>
              <w:spacing w:line="480" w:lineRule="auto"/>
              <w:rPr>
                <w:bCs/>
              </w:rPr>
            </w:pPr>
          </w:p>
        </w:tc>
        <w:tc>
          <w:tcPr>
            <w:tcW w:w="1858" w:type="dxa"/>
            <w:tcBorders>
              <w:top w:val="nil"/>
              <w:left w:val="nil"/>
              <w:bottom w:val="nil"/>
              <w:right w:val="nil"/>
            </w:tcBorders>
            <w:shd w:val="clear" w:color="auto" w:fill="auto"/>
            <w:vAlign w:val="bottom"/>
            <w:hideMark/>
          </w:tcPr>
          <w:p>
            <w:pPr>
              <w:jc w:val="right"/>
              <w:spacing w:line="480" w:lineRule="auto"/>
              <w:rPr>
                <w:bCs/>
              </w:rPr>
            </w:pPr>
            <w:r>
              <w:rPr>
                <w:bCs/>
              </w:rPr>
              <w:t>5.33</w:t>
            </w:r>
          </w:p>
        </w:tc>
        <w:tc>
          <w:tcPr>
            <w:tcW w:w="1705" w:type="dxa"/>
            <w:tcBorders>
              <w:top w:val="nil"/>
              <w:left w:val="nil"/>
              <w:bottom w:val="nil"/>
              <w:right w:val="nil"/>
            </w:tcBorders>
            <w:shd w:val="clear" w:color="auto" w:fill="auto"/>
            <w:vAlign w:val="bottom"/>
            <w:hideMark/>
          </w:tcPr>
          <w:p>
            <w:pPr>
              <w:jc w:val="right"/>
              <w:spacing w:line="480" w:lineRule="auto"/>
              <w:rPr>
                <w:bCs/>
              </w:rPr>
            </w:pPr>
            <w:r>
              <w:rPr>
                <w:bCs/>
              </w:rPr>
              <w:t>5.54</w:t>
            </w:r>
          </w:p>
        </w:tc>
      </w:tr>
      <w:tr>
        <w:trPr>
          <w:trHeight w:val="528" w:hRule="atLeast"/>
        </w:trPr>
        <w:tc>
          <w:tcPr>
            <w:tcW w:w="7122" w:type="dxa"/>
            <w:gridSpan w:val="3"/>
            <w:tcBorders>
              <w:top w:val="nil"/>
              <w:left w:val="nil"/>
              <w:bottom w:val="nil"/>
              <w:right w:val="nil"/>
            </w:tcBorders>
            <w:shd w:val="clear" w:color="auto" w:fill="auto"/>
            <w:vAlign w:val="bottom"/>
            <w:hideMark/>
          </w:tcPr>
          <w:p>
            <w:pPr>
              <w:spacing w:line="480" w:lineRule="auto"/>
              <w:rPr>
                <w:bCs/>
                <w:color w:val="000000"/>
              </w:rPr>
            </w:pPr>
            <w:r>
              <w:rPr>
                <w:bCs/>
                <w:color w:val="000000"/>
              </w:rPr>
              <w:t xml:space="preserve">ASSET MANAGEMENT RATIOS </w:t>
            </w:r>
          </w:p>
        </w:tc>
        <w:tc>
          <w:tcPr>
            <w:tcW w:w="1705" w:type="dxa"/>
            <w:tcBorders>
              <w:top w:val="nil"/>
              <w:left w:val="nil"/>
              <w:bottom w:val="nil"/>
              <w:right w:val="nil"/>
            </w:tcBorders>
            <w:shd w:val="clear" w:color="auto" w:fill="auto"/>
            <w:vAlign w:val="bottom"/>
            <w:hideMark/>
          </w:tcPr>
          <w:p>
            <w:pPr>
              <w:spacing w:line="480" w:lineRule="auto"/>
              <w:rPr>
                <w:bCs/>
                <w:color w:val="000000"/>
              </w:rPr>
            </w:pPr>
          </w:p>
        </w:tc>
      </w:tr>
      <w:tr>
        <w:trPr>
          <w:trHeight w:val="528" w:hRule="atLeast"/>
        </w:trPr>
        <w:tc>
          <w:tcPr>
            <w:tcW w:w="5264" w:type="dxa"/>
            <w:gridSpan w:val="2"/>
            <w:tcBorders>
              <w:top w:val="nil"/>
              <w:left w:val="nil"/>
              <w:bottom w:val="nil"/>
              <w:right w:val="nil"/>
            </w:tcBorders>
            <w:shd w:val="clear" w:color="auto" w:fill="auto"/>
            <w:vAlign w:val="bottom"/>
            <w:hideMark/>
          </w:tcPr>
          <w:p>
            <w:pPr>
              <w:spacing w:line="480" w:lineRule="auto"/>
              <w:rPr>
                <w:bCs/>
              </w:rPr>
            </w:pPr>
            <w:r>
              <w:rPr>
                <w:bCs/>
              </w:rPr>
              <w:t xml:space="preserve">  Inventory Turnover = cost of goods sold/ average inventory</w:t>
            </w:r>
          </w:p>
        </w:tc>
        <w:tc>
          <w:tcPr>
            <w:tcW w:w="1858" w:type="dxa"/>
            <w:tcBorders>
              <w:top w:val="nil"/>
              <w:left w:val="nil"/>
              <w:bottom w:val="nil"/>
              <w:right w:val="nil"/>
            </w:tcBorders>
            <w:shd w:val="clear" w:color="auto" w:fill="auto"/>
            <w:vAlign w:val="bottom"/>
            <w:hideMark/>
          </w:tcPr>
          <w:p>
            <w:pPr>
              <w:jc w:val="right"/>
              <w:spacing w:line="480" w:lineRule="auto"/>
              <w:rPr>
                <w:bCs/>
              </w:rPr>
            </w:pPr>
            <w:r>
              <w:rPr>
                <w:bCs/>
              </w:rPr>
              <w:t>6.4</w:t>
            </w:r>
          </w:p>
        </w:tc>
        <w:tc>
          <w:tcPr>
            <w:tcW w:w="1705" w:type="dxa"/>
            <w:tcBorders>
              <w:top w:val="nil"/>
              <w:left w:val="nil"/>
              <w:bottom w:val="nil"/>
              <w:right w:val="nil"/>
            </w:tcBorders>
            <w:shd w:val="clear" w:color="auto" w:fill="auto"/>
            <w:vAlign w:val="bottom"/>
            <w:hideMark/>
          </w:tcPr>
          <w:p>
            <w:pPr>
              <w:jc w:val="right"/>
              <w:spacing w:line="480" w:lineRule="auto"/>
              <w:rPr>
                <w:bCs/>
              </w:rPr>
            </w:pPr>
            <w:r>
              <w:rPr>
                <w:bCs/>
              </w:rPr>
              <w:t>4.6</w:t>
            </w:r>
          </w:p>
        </w:tc>
      </w:tr>
      <w:tr>
        <w:trPr>
          <w:trHeight w:val="528" w:hRule="atLeast"/>
        </w:trPr>
        <w:tc>
          <w:tcPr>
            <w:tcW w:w="5264" w:type="dxa"/>
            <w:gridSpan w:val="2"/>
            <w:tcBorders>
              <w:top w:val="nil"/>
              <w:left w:val="nil"/>
              <w:bottom w:val="nil"/>
              <w:right w:val="nil"/>
            </w:tcBorders>
            <w:shd w:val="clear" w:color="auto" w:fill="auto"/>
            <w:vAlign w:val="bottom"/>
            <w:hideMark/>
          </w:tcPr>
          <w:p>
            <w:pPr>
              <w:spacing w:line="480" w:lineRule="auto"/>
              <w:rPr>
                <w:bCs/>
              </w:rPr>
            </w:pPr>
            <w:r>
              <w:rPr>
                <w:bCs/>
              </w:rPr>
              <w:t xml:space="preserve">  Accounts receivable Turnover = net sales/average accounts receivable</w:t>
            </w:r>
          </w:p>
        </w:tc>
        <w:tc>
          <w:tcPr>
            <w:tcW w:w="1858" w:type="dxa"/>
            <w:tcBorders>
              <w:top w:val="nil"/>
              <w:left w:val="nil"/>
              <w:bottom w:val="nil"/>
              <w:right w:val="nil"/>
            </w:tcBorders>
            <w:shd w:val="clear" w:color="auto" w:fill="auto"/>
            <w:vAlign w:val="bottom"/>
            <w:hideMark/>
          </w:tcPr>
          <w:p>
            <w:pPr>
              <w:jc w:val="right"/>
              <w:spacing w:line="480" w:lineRule="auto"/>
              <w:rPr>
                <w:bCs/>
              </w:rPr>
            </w:pPr>
            <w:r>
              <w:rPr>
                <w:bCs/>
              </w:rPr>
              <w:t>9.3</w:t>
            </w:r>
          </w:p>
        </w:tc>
        <w:tc>
          <w:tcPr>
            <w:tcW w:w="1705" w:type="dxa"/>
            <w:tcBorders>
              <w:top w:val="nil"/>
              <w:left w:val="nil"/>
              <w:bottom w:val="nil"/>
              <w:right w:val="nil"/>
            </w:tcBorders>
            <w:shd w:val="clear" w:color="auto" w:fill="auto"/>
            <w:vAlign w:val="bottom"/>
            <w:hideMark/>
          </w:tcPr>
          <w:p>
            <w:pPr>
              <w:jc w:val="right"/>
              <w:spacing w:line="480" w:lineRule="auto"/>
              <w:rPr>
                <w:bCs/>
              </w:rPr>
            </w:pPr>
            <w:r>
              <w:rPr>
                <w:bCs/>
              </w:rPr>
              <w:t>9.0</w:t>
            </w:r>
          </w:p>
        </w:tc>
      </w:tr>
      <w:tr>
        <w:trPr>
          <w:trHeight w:val="528" w:hRule="atLeast"/>
        </w:trPr>
        <w:tc>
          <w:tcPr>
            <w:tcW w:w="5264" w:type="dxa"/>
            <w:gridSpan w:val="2"/>
            <w:tcBorders>
              <w:top w:val="nil"/>
              <w:left w:val="nil"/>
              <w:bottom w:val="nil"/>
              <w:right w:val="nil"/>
            </w:tcBorders>
            <w:shd w:val="clear" w:color="auto" w:fill="auto"/>
            <w:vAlign w:val="bottom"/>
            <w:hideMark/>
          </w:tcPr>
          <w:p>
            <w:pPr>
              <w:spacing w:line="480" w:lineRule="auto"/>
              <w:rPr>
                <w:bCs/>
              </w:rPr>
            </w:pPr>
          </w:p>
          <w:p>
            <w:pPr>
              <w:spacing w:line="480" w:lineRule="auto"/>
              <w:rPr>
                <w:bCs/>
              </w:rPr>
            </w:pPr>
            <w:r>
              <w:rPr>
                <w:bCs/>
              </w:rPr>
              <w:t xml:space="preserve">PROFITABILITY RATIOS </w:t>
            </w:r>
          </w:p>
        </w:tc>
        <w:tc>
          <w:tcPr>
            <w:tcW w:w="1858" w:type="dxa"/>
            <w:tcBorders>
              <w:top w:val="nil"/>
              <w:left w:val="nil"/>
              <w:bottom w:val="nil"/>
              <w:right w:val="nil"/>
            </w:tcBorders>
            <w:shd w:val="clear" w:color="auto" w:fill="auto"/>
            <w:vAlign w:val="bottom"/>
            <w:hideMark/>
          </w:tcPr>
          <w:p>
            <w:pPr>
              <w:jc w:val="right"/>
              <w:spacing w:line="480" w:lineRule="auto"/>
              <w:rPr>
                <w:bCs/>
              </w:rPr>
            </w:pPr>
          </w:p>
        </w:tc>
        <w:tc>
          <w:tcPr>
            <w:tcW w:w="1705" w:type="dxa"/>
            <w:tcBorders>
              <w:top w:val="nil"/>
              <w:left w:val="nil"/>
              <w:bottom w:val="nil"/>
              <w:right w:val="nil"/>
            </w:tcBorders>
            <w:shd w:val="clear" w:color="auto" w:fill="auto"/>
            <w:vAlign w:val="bottom"/>
            <w:hideMark/>
          </w:tcPr>
          <w:p>
            <w:pPr>
              <w:jc w:val="right"/>
              <w:spacing w:line="480" w:lineRule="auto"/>
              <w:rPr>
                <w:bCs/>
              </w:rPr>
            </w:pPr>
          </w:p>
        </w:tc>
      </w:tr>
      <w:tr>
        <w:trPr>
          <w:trHeight w:val="528" w:hRule="atLeast"/>
        </w:trPr>
        <w:tc>
          <w:tcPr>
            <w:tcW w:w="4980" w:type="dxa"/>
            <w:tcBorders>
              <w:top w:val="nil"/>
              <w:left w:val="nil"/>
              <w:bottom w:val="nil"/>
              <w:right w:val="nil"/>
            </w:tcBorders>
            <w:shd w:val="clear" w:color="auto" w:fill="auto"/>
            <w:vAlign w:val="bottom"/>
            <w:hideMark/>
          </w:tcPr>
          <w:p>
            <w:pPr>
              <w:spacing w:line="480" w:lineRule="auto"/>
              <w:rPr>
                <w:bCs/>
              </w:rPr>
            </w:pPr>
            <w:r>
              <w:rPr>
                <w:bCs/>
              </w:rPr>
              <w:t xml:space="preserve">  Profit Margin = net income/revenue</w:t>
            </w:r>
          </w:p>
        </w:tc>
        <w:tc>
          <w:tcPr>
            <w:tcW w:w="284" w:type="dxa"/>
            <w:tcBorders>
              <w:top w:val="nil"/>
              <w:left w:val="nil"/>
              <w:bottom w:val="nil"/>
              <w:right w:val="nil"/>
            </w:tcBorders>
            <w:shd w:val="clear" w:color="auto" w:fill="auto"/>
            <w:vAlign w:val="bottom"/>
            <w:hideMark/>
          </w:tcPr>
          <w:p>
            <w:pPr>
              <w:spacing w:line="480" w:lineRule="auto"/>
              <w:rPr>
                <w:bCs/>
              </w:rPr>
            </w:pPr>
          </w:p>
        </w:tc>
        <w:tc>
          <w:tcPr>
            <w:tcW w:w="1858" w:type="dxa"/>
            <w:tcBorders>
              <w:top w:val="nil"/>
              <w:left w:val="nil"/>
              <w:bottom w:val="nil"/>
              <w:right w:val="nil"/>
            </w:tcBorders>
            <w:shd w:val="clear" w:color="auto" w:fill="auto"/>
            <w:vAlign w:val="bottom"/>
            <w:hideMark/>
          </w:tcPr>
          <w:p>
            <w:pPr>
              <w:jc w:val="right"/>
              <w:spacing w:line="480" w:lineRule="auto"/>
              <w:rPr>
                <w:bCs/>
              </w:rPr>
            </w:pPr>
            <w:r>
              <w:rPr>
                <w:bCs/>
              </w:rPr>
              <w:t>13%</w:t>
            </w:r>
          </w:p>
        </w:tc>
        <w:tc>
          <w:tcPr>
            <w:tcW w:w="1705" w:type="dxa"/>
            <w:tcBorders>
              <w:top w:val="nil"/>
              <w:left w:val="nil"/>
              <w:bottom w:val="nil"/>
              <w:right w:val="nil"/>
            </w:tcBorders>
            <w:shd w:val="clear" w:color="auto" w:fill="auto"/>
            <w:vAlign w:val="bottom"/>
            <w:hideMark/>
          </w:tcPr>
          <w:p>
            <w:pPr>
              <w:jc w:val="right"/>
              <w:spacing w:line="480" w:lineRule="auto"/>
              <w:rPr>
                <w:bCs/>
              </w:rPr>
            </w:pPr>
            <w:r>
              <w:rPr>
                <w:bCs/>
              </w:rPr>
              <w:t>11%</w:t>
            </w:r>
          </w:p>
        </w:tc>
      </w:tr>
      <w:tr>
        <w:trPr>
          <w:trHeight w:val="528" w:hRule="atLeast"/>
        </w:trPr>
        <w:tc>
          <w:tcPr>
            <w:tcW w:w="4980" w:type="dxa"/>
            <w:tcBorders>
              <w:top w:val="nil"/>
              <w:left w:val="nil"/>
              <w:bottom w:val="nil"/>
              <w:right w:val="nil"/>
            </w:tcBorders>
            <w:shd w:val="clear" w:color="auto" w:fill="auto"/>
            <w:vAlign w:val="bottom"/>
            <w:hideMark/>
          </w:tcPr>
          <w:p>
            <w:pPr>
              <w:spacing w:line="480" w:lineRule="auto"/>
              <w:rPr>
                <w:bCs/>
              </w:rPr>
            </w:pPr>
            <w:r>
              <w:rPr>
                <w:bCs/>
              </w:rPr>
              <w:t xml:space="preserve">  Return on Equity = net income/shareholder’s equity</w:t>
            </w:r>
          </w:p>
        </w:tc>
        <w:tc>
          <w:tcPr>
            <w:tcW w:w="284" w:type="dxa"/>
            <w:tcBorders>
              <w:top w:val="nil"/>
              <w:left w:val="nil"/>
              <w:bottom w:val="nil"/>
              <w:right w:val="nil"/>
            </w:tcBorders>
            <w:shd w:val="clear" w:color="auto" w:fill="auto"/>
            <w:vAlign w:val="bottom"/>
            <w:hideMark/>
          </w:tcPr>
          <w:p>
            <w:pPr>
              <w:spacing w:line="480" w:lineRule="auto"/>
              <w:rPr>
                <w:bCs/>
              </w:rPr>
            </w:pPr>
          </w:p>
        </w:tc>
        <w:tc>
          <w:tcPr>
            <w:tcW w:w="1858" w:type="dxa"/>
            <w:tcBorders>
              <w:top w:val="nil"/>
              <w:left w:val="nil"/>
              <w:bottom w:val="nil"/>
              <w:right w:val="nil"/>
            </w:tcBorders>
            <w:shd w:val="clear" w:color="auto" w:fill="auto"/>
            <w:vAlign w:val="bottom"/>
            <w:hideMark/>
          </w:tcPr>
          <w:p>
            <w:pPr>
              <w:jc w:val="right"/>
              <w:spacing w:line="480" w:lineRule="auto"/>
              <w:rPr>
                <w:bCs/>
              </w:rPr>
            </w:pPr>
            <w:r>
              <w:rPr>
                <w:bCs/>
              </w:rPr>
              <w:t>12%</w:t>
            </w:r>
          </w:p>
        </w:tc>
        <w:tc>
          <w:tcPr>
            <w:tcW w:w="1705" w:type="dxa"/>
            <w:tcBorders>
              <w:top w:val="nil"/>
              <w:left w:val="nil"/>
              <w:bottom w:val="nil"/>
              <w:right w:val="nil"/>
            </w:tcBorders>
            <w:shd w:val="clear" w:color="auto" w:fill="auto"/>
            <w:vAlign w:val="bottom"/>
            <w:hideMark/>
          </w:tcPr>
          <w:p>
            <w:pPr>
              <w:jc w:val="right"/>
              <w:spacing w:line="480" w:lineRule="auto"/>
              <w:rPr>
                <w:bCs/>
              </w:rPr>
            </w:pPr>
            <w:r>
              <w:rPr>
                <w:bCs/>
              </w:rPr>
              <w:t>10%</w:t>
            </w:r>
          </w:p>
        </w:tc>
      </w:tr>
    </w:tbl>
    <w:p>
      <w:pPr>
        <w:jc w:val="both"/>
        <w:spacing w:line="480" w:lineRule="auto"/>
      </w:pPr>
    </w:p>
    <w:p>
      <w:pPr>
        <w:jc w:val="both"/>
        <w:spacing w:line="480" w:lineRule="auto"/>
      </w:pPr>
      <w:r>
        <w:tab/>
      </w:r>
      <w:r>
        <w:t>When analyzing the financial ratios, it is important to check the strength of the company based on various ratios. Liquidity ratios of the two companies are greater than one thus they are both able to pay off their current liabilities as they fall due but when compared NVIDIA Corporation is doing better. Analyzing the profitability ratios, both companies ratios decreased from 2013 to 2014 indicating that the companies reported lower net income in 2014. Thus their most challenge was on how to increase the net income in 2015 to avoid further decrease. Asset management ratios which determine how efficiency a company is in managing its assets, therefore looking at the ratios, inventory turnover, and accounts receivable turnover has declined from 2013 to 2014 for both companies, thus lowering the rate at which inventory and accounts receivables are turned.</w:t>
      </w:r>
    </w:p>
    <w:p>
      <w:pPr>
        <w:spacing w:line="480" w:lineRule="auto"/>
      </w:pPr>
    </w:p>
    <w:p>
      <w:pPr>
        <w:spacing w:line="480" w:lineRule="auto"/>
      </w:pPr>
    </w:p>
    <w:p>
      <w:pPr>
        <w:spacing w:line="480" w:lineRule="auto"/>
      </w:pPr>
    </w:p>
    <w:p>
      <w:pPr>
        <w:spacing w:line="480" w:lineRule="auto"/>
      </w:pPr>
    </w:p>
    <w:p>
      <w:pPr>
        <w:spacing w:line="480" w:lineRule="auto"/>
      </w:pPr>
    </w:p>
    <w:p/>
    <w:p/>
    <w:sdt>
      <w:sdtPr>
        <w:rPr>
          <w:rFonts w:ascii="Times New Roman" w:hAnsi="Times New Roman" w:cs="Times New Roman"/>
          <w:sz w:val="24"/>
          <w:szCs w:val="24"/>
        </w:rPr>
        <w:id w:val="-1"/>
        <w:docPartObj>
          <w:docPartGallery w:val="Bibliographies"/>
          <w:docPartUnique/>
        </w:docPartObj>
      </w:sdtPr>
      <w:sdtEndPr>
        <w:rPr>
          <w:rFonts w:eastAsia="Times New Roman"/>
          <w:color w:val="auto"/>
        </w:rPr>
      </w:sdtEndPr>
      <w:sdtContent>
        <w:p>
          <w:pPr>
            <w:pStyle w:val="Heading1"/>
            <w:jc w:val="center"/>
            <w:spacing w:before="0" w:line="480" w:lineRule="auto"/>
            <w:rPr>
              <w:rFonts w:ascii="Times New Roman" w:hAnsi="Times New Roman" w:cs="Times New Roman"/>
              <w:color w:val="auto"/>
              <w:sz w:val="24"/>
              <w:szCs w:val="24"/>
            </w:rPr>
          </w:pPr>
          <w:r>
            <w:rPr>
              <w:rFonts w:ascii="Times New Roman" w:hAnsi="Times New Roman" w:cs="Times New Roman"/>
              <w:color w:val="auto"/>
              <w:sz w:val="24"/>
              <w:szCs w:val="24"/>
            </w:rPr>
            <w:t>References</w:t>
          </w:r>
        </w:p>
        <w:p>
          <w:pPr>
            <w:spacing w:line="480" w:lineRule="auto"/>
          </w:pPr>
          <w:r>
            <w:t xml:space="preserve">Brennan, L. C., &amp; Barnes-Murphy, R. (2013). </w:t>
          </w:r>
          <w:r>
            <w:rPr>
              <w:i/>
              <w:iCs/>
            </w:rPr>
            <w:t>The stock market</w:t>
          </w:r>
          <w:r>
            <w:t>. Mankato, MN: The Child's World.</w:t>
          </w:r>
        </w:p>
        <w:p>
          <w:pPr>
            <w:pStyle w:val="Bibliography"/>
            <w:ind w:left="720" w:hanging="720"/>
            <w:spacing w:line="480" w:lineRule="auto"/>
            <w:rPr>
              <w:rFonts w:ascii="Times New Roman" w:hAnsi="Times New Roman" w:cs="Times New Roman"/>
              <w:noProof/>
              <w:sz w:val="24"/>
              <w:szCs w:val="24"/>
            </w:rPr>
          </w:pPr>
          <w:r>
            <w:rPr>
              <w:rFonts w:ascii="Times New Roman" w:hAnsi="Times New Roman" w:cs="Times New Roman"/>
              <w:noProof/>
              <w:sz w:val="24"/>
              <w:szCs w:val="24"/>
            </w:rPr>
            <w:t xml:space="preserve">Company, O. (2014). </w:t>
          </w:r>
          <w:r>
            <w:rPr>
              <w:rFonts w:ascii="Times New Roman" w:hAnsi="Times New Roman" w:cs="Times New Roman"/>
              <w:i/>
              <w:iCs/>
              <w:noProof/>
              <w:sz w:val="24"/>
              <w:szCs w:val="24"/>
            </w:rPr>
            <w:t>Company Reports</w:t>
          </w:r>
          <w:r>
            <w:rPr>
              <w:rFonts w:ascii="Times New Roman" w:hAnsi="Times New Roman" w:cs="Times New Roman"/>
              <w:noProof/>
              <w:sz w:val="24"/>
              <w:szCs w:val="24"/>
            </w:rPr>
            <w:t xml:space="preserve">. Retrieved from The Coca cola company: </w:t>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HYPERLINK "http://www.coca-colacompany.com/our-company/company-reports" </w:instrText>
          </w:r>
          <w:r>
            <w:rPr>
              <w:rFonts w:ascii="Times New Roman" w:hAnsi="Times New Roman" w:cs="Times New Roman"/>
              <w:noProof/>
              <w:sz w:val="24"/>
              <w:szCs w:val="24"/>
            </w:rPr>
            <w:fldChar w:fldCharType="separate"/>
          </w:r>
          <w:r>
            <w:rPr>
              <w:rStyle w:val="Hyperlink"/>
              <w:rFonts w:ascii="Times New Roman" w:hAnsi="Times New Roman" w:cs="Times New Roman"/>
              <w:noProof/>
              <w:sz w:val="24"/>
              <w:szCs w:val="24"/>
            </w:rPr>
            <w:t>http://www.coca-colacompany.com/our-company/company-reports</w:t>
          </w:r>
          <w:r>
            <w:rPr>
              <w:rStyle w:val="Hyperlink"/>
              <w:rFonts w:ascii="Times New Roman" w:hAnsi="Times New Roman" w:cs="Times New Roman"/>
              <w:noProof/>
              <w:sz w:val="24"/>
              <w:szCs w:val="24"/>
            </w:rPr>
            <w:fldChar w:fldCharType="end"/>
          </w:r>
        </w:p>
        <w:p>
          <w:pPr>
            <w:spacing w:line="480" w:lineRule="auto"/>
          </w:pPr>
          <w:r>
            <w:t xml:space="preserve">Connolly, S. (2010). </w:t>
          </w:r>
          <w:r>
            <w:rPr>
              <w:i/>
              <w:iCs/>
            </w:rPr>
            <w:t>Stock exchanges</w:t>
          </w:r>
          <w:r>
            <w:t>. London: Franklin Watts.</w:t>
          </w:r>
        </w:p>
        <w:p>
          <w:pPr>
            <w:pStyle w:val="Bibliography"/>
            <w:ind w:left="720" w:hanging="720"/>
            <w:spacing w:line="480" w:lineRule="auto"/>
            <w:rPr>
              <w:rFonts w:ascii="Times New Roman" w:hAnsi="Times New Roman" w:cs="Times New Roman"/>
              <w:noProof/>
              <w:sz w:val="24"/>
              <w:szCs w:val="24"/>
            </w:rPr>
          </w:pPr>
          <w:r>
            <w:rPr>
              <w:rFonts w:ascii="Times New Roman" w:hAnsi="Times New Roman" w:cs="Times New Roman"/>
              <w:noProof/>
              <w:sz w:val="24"/>
              <w:szCs w:val="24"/>
            </w:rPr>
            <w:t xml:space="preserve">finance, Y. (2014). </w:t>
          </w:r>
          <w:r>
            <w:rPr>
              <w:rFonts w:ascii="Times New Roman" w:hAnsi="Times New Roman" w:cs="Times New Roman"/>
              <w:i/>
              <w:iCs/>
              <w:noProof/>
              <w:sz w:val="24"/>
              <w:szCs w:val="24"/>
            </w:rPr>
            <w:t>NVIDIA Corporation</w:t>
          </w:r>
          <w:r>
            <w:rPr>
              <w:rFonts w:ascii="Times New Roman" w:hAnsi="Times New Roman" w:cs="Times New Roman"/>
              <w:noProof/>
              <w:sz w:val="24"/>
              <w:szCs w:val="24"/>
            </w:rPr>
            <w:t xml:space="preserve">. Retrieved from financials: </w:t>
          </w:r>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 HYPERLINK "https://finance.yahoo.com/quote/NVDA/financials?p=NVDA" </w:instrText>
          </w:r>
          <w:r>
            <w:rPr>
              <w:rFonts w:ascii="Times New Roman" w:hAnsi="Times New Roman" w:cs="Times New Roman"/>
              <w:noProof/>
              <w:sz w:val="24"/>
              <w:szCs w:val="24"/>
            </w:rPr>
            <w:fldChar w:fldCharType="separate"/>
          </w:r>
          <w:r>
            <w:rPr>
              <w:rStyle w:val="Hyperlink"/>
              <w:rFonts w:ascii="Times New Roman" w:hAnsi="Times New Roman" w:cs="Times New Roman"/>
              <w:noProof/>
              <w:sz w:val="24"/>
              <w:szCs w:val="24"/>
            </w:rPr>
            <w:t>https://finance.yahoo.com/quote/NVDA/financials?p=NVDA</w:t>
          </w:r>
          <w:r>
            <w:rPr>
              <w:rStyle w:val="Hyperlink"/>
              <w:rFonts w:ascii="Times New Roman" w:hAnsi="Times New Roman" w:cs="Times New Roman"/>
              <w:noProof/>
              <w:sz w:val="24"/>
              <w:szCs w:val="24"/>
            </w:rPr>
            <w:fldChar w:fldCharType="end"/>
          </w:r>
        </w:p>
        <w:p>
          <w:pPr>
            <w:spacing w:line="480" w:lineRule="auto"/>
          </w:pPr>
        </w:p>
      </w:sdtContent>
    </w:sdt>
    <w:p>
      <w:pPr>
        <w:tabs>
          <w:tab w:val="left" w:pos="2190"/>
        </w:tabs>
        <w:spacing w:line="480" w:lineRule="auto"/>
      </w:pPr>
    </w:p>
    <w:sectPr>
      <w:pgSz w:w="12240" w:h="15840"/>
      <w:pgMar w:top="1440" w:right="1440" w:bottom="1440" w:left="1440" w:header="720" w:footer="720" w:gutter="0"/>
      <w:cols w:space="720"/>
      <w:docGrid w:linePitch="360"/>
      <w:headerReference w:type="default" r:id="rId1"/>
      <w:headerReference w:type="first" r:id="rId2"/>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Times New Roman">
    <w:panose1 w:val="02020603050405020304"/>
    <w:family w:val="roman"/>
    <w:charset w:val="00"/>
    <w:notTrueType w:val="false"/>
    <w:sig w:usb0="E0002AFF" w:usb1="C0007841" w:usb2="00000009" w:usb3="00000001"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sdt>
    <w:sdtPr>
      <w:id w:val="-1"/>
      <w:docPartObj>
        <w:docPartGallery w:val="Page Numbers (Top of Page)"/>
        <w:docPartUnique/>
      </w:docPartObj>
    </w:sdtPr>
    <w:sdtEndPr>
      <w:rPr>
        <w:noProof/>
      </w:rPr>
    </w:sdtEndPr>
    <w:sdtContent>
      <w:p>
        <w:pPr>
          <w:pStyle w:val="Header"/>
          <w:jc w:val="right"/>
          <w:spacing w:line="480" w:lineRule="auto"/>
        </w:pPr>
        <w:r>
          <w:fldChar w:fldCharType="begin"/>
        </w:r>
        <w:r>
          <w:instrText xml:space="preserve"> PAGE   \* MERGEFORMAT </w:instrText>
        </w:r>
        <w:r>
          <w:fldChar w:fldCharType="separate"/>
        </w:r>
        <w:r>
          <w:rPr>
            <w:noProof/>
          </w:rPr>
          <w:t>6</w:t>
        </w:r>
        <w:r>
          <w:rPr>
            <w:noProof/>
          </w:rPr>
          <w:fldChar w:fldCharType="end"/>
        </w:r>
      </w:p>
    </w:sdtContent>
  </w:sdt>
  <w:p>
    <w:pPr>
      <w:pStyle w:val="Header"/>
      <w:spacing w:line="48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SpellingErrors/>
  <w:hideGrammaticalErrors/>
  <w:proofState w:spelling="clean" w:grammar="clean"/>
  <w:defaultTabStop w:val="72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en-US" w:eastAsia="ko-KR" w:bidi="ar-SA"/>
</w:settings>
</file>

<file path=word/styles.xml><?xml version="1.0" encoding="utf-8"?>
<w:styles xmlns:r="http://schemas.openxmlformats.org/officeDocument/2006/relationships" xmlns:w="http://schemas.openxmlformats.org/wordprocessingml/2006/main">
  <w:docDefaults>
    <w:rPrDefault>
      <w:rPr>
        <w:lang w:val="en-US" w:eastAsia="en-US" w:bidi="ar-SA"/>
        <w:rFonts w:asciiTheme="minorHAnsi" w:eastAsiaTheme="minorHAnsi" w:hAnsiTheme="minorHAnsi" w:cstheme="minorBidi"/>
        <w:sz w:val="22"/>
        <w:szCs w:val="22"/>
      </w:rPr>
    </w:rPrDefault>
    <w:pPrDefault>
      <w:pPr>
        <w:spacing w:after="200" w:line="276" w:lineRule="auto"/>
      </w:pPr>
    </w:pPrDefault>
  </w:docDefault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erChar">
    <w:name w:val="Header Char"/>
    <w:basedOn w:val="defaultParagraphFont"/>
    <w:link w:val="header"/>
    <w:rPr>
      <w:rFonts w:ascii="Times New Roman" w:eastAsia="Times New Roman" w:hAnsi="Times New Roman" w:cs="Times New Roman"/>
      <w:sz w:val="24"/>
      <w:szCs w:val="24"/>
    </w:rPr>
  </w:style>
  <w:style w:type="character" w:customStyle="1" w:styleId="Heading1Char">
    <w:name w:val="Heading 1 Char"/>
    <w:basedOn w:val="defaultParagraphFont"/>
    <w:link w:val="heading 1"/>
    <w:rPr>
      <w:rFonts w:asciiTheme="majorHAnsi" w:eastAsiaTheme="majorEastAsia" w:hAnsiTheme="majorHAnsi" w:cstheme="majorBidi"/>
      <w:color w:val="365F91"/>
      <w:sz w:val="32"/>
      <w:szCs w:val="32"/>
    </w:rPr>
  </w:style>
  <w:style w:type="paragraph" w:styleId="Heading1">
    <w:name w:val="heading 1"/>
    <w:basedOn w:val="normal"/>
    <w:next w:val="normal"/>
    <w:link w:val="Heading 1 Char"/>
    <w:qFormat/>
    <w:pPr>
      <w:keepNext/>
      <w:keepLines/>
      <w:outlineLvl w:val="0"/>
      <w:spacing w:before="240" w:line="259" w:lineRule="auto"/>
    </w:pPr>
    <w:rPr>
      <w:rFonts w:asciiTheme="majorHAnsi" w:eastAsiaTheme="majorEastAsia" w:hAnsiTheme="majorHAnsi" w:cstheme="majorBidi"/>
      <w:color w:val="365F91"/>
      <w:sz w:val="32"/>
      <w:szCs w:val="32"/>
    </w:rPr>
  </w:style>
  <w:style w:type="character" w:styleId="Hyperlink">
    <w:name w:val="Hyperlink"/>
    <w:basedOn w:val="defaultParagraphFont"/>
    <w:unhideWhenUsed/>
    <w:rPr>
      <w:color w:val="0000FF"/>
      <w:u w:val="single" w:color="auto"/>
    </w:rPr>
  </w:style>
  <w:style w:type="paragraph" w:styleId="Header">
    <w:name w:val="header"/>
    <w:basedOn w:val="normal"/>
    <w:link w:val="Header Char"/>
    <w:unhideWhenUsed/>
    <w:pPr>
      <w:tabs>
        <w:tab w:val="center" w:pos="4680"/>
        <w:tab w:val="right" w:pos="9360"/>
      </w:tabs>
    </w:pPr>
  </w:style>
  <w:style w:type="paragraph" w:styleId="NormalWeb">
    <w:name w:val="Normal (Web)"/>
    <w:basedOn w:val="normal"/>
    <w:semiHidden/>
    <w:unhideWhenUsed/>
    <w:pPr>
      <w:spacing w:after="100" w:afterAutospacing="1" w:before="100" w:beforeAutospacing="1"/>
    </w:pPr>
  </w:style>
  <w:style w:type="paragraph" w:styleId="Bibliography">
    <w:name w:val="Bibliography"/>
    <w:basedOn w:val="normal"/>
    <w:next w:val="normal"/>
    <w:unhideWhenUsed/>
    <w:pPr>
      <w:spacing w:after="200" w:line="276" w:lineRule="auto"/>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header" Target="header1.xml" /><Relationship Id="rId2" Type="http://schemas.openxmlformats.org/officeDocument/2006/relationships/header" Target="header2.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fontTable" Target="fontTable.xml" /><Relationship Id="rId6" Type="http://schemas.openxmlformats.org/officeDocument/2006/relationships/webSettings" Target="webSettings.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ThinkFree Mobile Write</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Mwas</dc:creator>
  <cp:keywords/>
  <dc:description/>
  <cp:lastModifiedBy>sgatlin3479</cp:lastModifiedBy>
  <cp:revision>1</cp:revision>
  <dcterms:created xsi:type="dcterms:W3CDTF">2017-04-16T16:16:00Z</dcterms:created>
  <dcterms:modified xsi:type="dcterms:W3CDTF">2017-04-17T00:27:46Z</dcterms:modified>
  <cp:version>04.2000</cp:version>
</cp:coreProperties>
</file>