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91" w:rsidRPr="005A764A" w:rsidRDefault="005A764A" w:rsidP="005A764A">
      <w:pPr>
        <w:spacing w:after="0" w:line="240" w:lineRule="auto"/>
        <w:rPr>
          <w:rFonts w:ascii="Helvetica" w:hAnsi="Helvetica" w:cs="Helvetica"/>
          <w:color w:val="2D3B45"/>
          <w:sz w:val="21"/>
          <w:szCs w:val="21"/>
          <w:shd w:val="clear" w:color="auto" w:fill="FFFFFF"/>
        </w:rPr>
      </w:pPr>
      <w:r>
        <w:rPr>
          <w:rFonts w:ascii="Helvetica" w:hAnsi="Helvetica" w:cs="Helvetica"/>
          <w:b/>
          <w:color w:val="2D3B45"/>
          <w:sz w:val="21"/>
          <w:szCs w:val="21"/>
        </w:rPr>
        <w:t xml:space="preserve">Ethical Case Study of </w:t>
      </w:r>
      <w:r w:rsidRPr="005A764A">
        <w:rPr>
          <w:rFonts w:ascii="Helvetica" w:hAnsi="Helvetica" w:cs="Helvetica"/>
          <w:b/>
          <w:color w:val="2D3B45"/>
          <w:sz w:val="21"/>
          <w:szCs w:val="21"/>
        </w:rPr>
        <w:t>WorldCom</w:t>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shd w:val="clear" w:color="auto" w:fill="FFFFFF"/>
        </w:rPr>
        <w:t xml:space="preserve">"As the SEC was conducting its investigation of Enron, an even larger CEO ethics </w:t>
      </w:r>
      <w:r w:rsidR="006364FB" w:rsidRPr="008B3348">
        <w:rPr>
          <w:rFonts w:ascii="Helvetica" w:hAnsi="Helvetica" w:cs="Helvetica"/>
          <w:color w:val="FF0000"/>
          <w:sz w:val="21"/>
          <w:szCs w:val="21"/>
          <w:shd w:val="clear" w:color="auto" w:fill="FFFFFF"/>
        </w:rPr>
        <w:t>(Links to an external site.</w:t>
      </w:r>
      <w:r w:rsidR="006364FB" w:rsidRPr="005A764A">
        <w:rPr>
          <w:rFonts w:ascii="Helvetica" w:hAnsi="Helvetica" w:cs="Helvetica"/>
          <w:color w:val="2D3B45"/>
          <w:sz w:val="21"/>
          <w:szCs w:val="21"/>
          <w:shd w:val="clear" w:color="auto" w:fill="FFFFFF"/>
        </w:rPr>
        <w:t xml:space="preserve">) violation was brewing. </w:t>
      </w:r>
      <w:proofErr w:type="spellStart"/>
      <w:r w:rsidR="006364FB" w:rsidRPr="005A764A">
        <w:rPr>
          <w:rFonts w:ascii="Helvetica" w:hAnsi="Helvetica" w:cs="Helvetica"/>
          <w:color w:val="2D3B45"/>
          <w:sz w:val="21"/>
          <w:szCs w:val="21"/>
          <w:shd w:val="clear" w:color="auto" w:fill="FFFFFF"/>
        </w:rPr>
        <w:t>Worldcom</w:t>
      </w:r>
      <w:proofErr w:type="spellEnd"/>
      <w:r w:rsidR="006364FB" w:rsidRPr="005A764A">
        <w:rPr>
          <w:rFonts w:ascii="Helvetica" w:hAnsi="Helvetica" w:cs="Helvetica"/>
          <w:color w:val="2D3B45"/>
          <w:sz w:val="21"/>
          <w:szCs w:val="21"/>
          <w:shd w:val="clear" w:color="auto" w:fill="FFFFFF"/>
        </w:rPr>
        <w:t>, which at the time was the United States (</w:t>
      </w:r>
      <w:r w:rsidR="006364FB" w:rsidRPr="008B3348">
        <w:rPr>
          <w:rFonts w:ascii="Helvetica" w:hAnsi="Helvetica" w:cs="Helvetica"/>
          <w:color w:val="FF0000"/>
          <w:sz w:val="21"/>
          <w:szCs w:val="21"/>
          <w:shd w:val="clear" w:color="auto" w:fill="FFFFFF"/>
        </w:rPr>
        <w:t>Links to an external site</w:t>
      </w:r>
      <w:r w:rsidR="006364FB" w:rsidRPr="005A764A">
        <w:rPr>
          <w:rFonts w:ascii="Helvetica" w:hAnsi="Helvetica" w:cs="Helvetica"/>
          <w:color w:val="2D3B45"/>
          <w:sz w:val="21"/>
          <w:szCs w:val="21"/>
          <w:shd w:val="clear" w:color="auto" w:fill="FFFFFF"/>
        </w:rPr>
        <w:t>.)' second-largest long-distance telecommunications company, entered into merger discussions with Sprint. The merger was ultimately dashed by the Department of Justice over concerns about it creating a virtual monopoly. The situation took its toll on the company's stock price.</w:t>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shd w:val="clear" w:color="auto" w:fill="FFFFFF"/>
        </w:rPr>
        <w:t xml:space="preserve">CEO Bernard Ebbers owned hundreds of millions of dollars in </w:t>
      </w:r>
      <w:proofErr w:type="spellStart"/>
      <w:r w:rsidR="006364FB" w:rsidRPr="005A764A">
        <w:rPr>
          <w:rFonts w:ascii="Helvetica" w:hAnsi="Helvetica" w:cs="Helvetica"/>
          <w:color w:val="2D3B45"/>
          <w:sz w:val="21"/>
          <w:szCs w:val="21"/>
          <w:shd w:val="clear" w:color="auto" w:fill="FFFFFF"/>
        </w:rPr>
        <w:t>Worldcom</w:t>
      </w:r>
      <w:proofErr w:type="spellEnd"/>
      <w:r w:rsidR="006364FB" w:rsidRPr="005A764A">
        <w:rPr>
          <w:rFonts w:ascii="Helvetica" w:hAnsi="Helvetica" w:cs="Helvetica"/>
          <w:color w:val="2D3B45"/>
          <w:sz w:val="21"/>
          <w:szCs w:val="21"/>
          <w:shd w:val="clear" w:color="auto" w:fill="FFFFFF"/>
        </w:rPr>
        <w:t xml:space="preserve"> stock, which he margined to invest in other business ventures. As the stock price dropped, banks began demanding that Ebbers cover more than $400 million in margin calls. Ebbers convinced the board to lend him the money so that he would not have to sell substantial blocks of stock. He also began an aggressive campaign to prop up the stock price by creating outright fraudulent accounting entries. The fraud was ultimately discovered by </w:t>
      </w:r>
      <w:proofErr w:type="spellStart"/>
      <w:r w:rsidR="006364FB" w:rsidRPr="005A764A">
        <w:rPr>
          <w:rFonts w:ascii="Helvetica" w:hAnsi="Helvetica" w:cs="Helvetica"/>
          <w:color w:val="2D3B45"/>
          <w:sz w:val="21"/>
          <w:szCs w:val="21"/>
          <w:shd w:val="clear" w:color="auto" w:fill="FFFFFF"/>
        </w:rPr>
        <w:t>Worldcom's</w:t>
      </w:r>
      <w:proofErr w:type="spellEnd"/>
      <w:r w:rsidR="006364FB" w:rsidRPr="005A764A">
        <w:rPr>
          <w:rFonts w:ascii="Helvetica" w:hAnsi="Helvetica" w:cs="Helvetica"/>
          <w:color w:val="2D3B45"/>
          <w:sz w:val="21"/>
          <w:szCs w:val="21"/>
          <w:shd w:val="clear" w:color="auto" w:fill="FFFFFF"/>
        </w:rPr>
        <w:t xml:space="preserve"> internal audit department, and the audit committee was informed. The resulting SEC investigation resulted in the company's bankruptcy filing in 2002 and the conviction of Ebbers on fraud, conspiracy and filing false documents charges. Ebbers began a 25-year sentence in federal prison in 2006."</w:t>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shd w:val="clear" w:color="auto" w:fill="FFFFFF"/>
        </w:rPr>
        <w:t>Breakdown:</w:t>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rPr>
        <w:br/>
      </w:r>
    </w:p>
    <w:tbl>
      <w:tblPr>
        <w:tblStyle w:val="TableGrid"/>
        <w:tblW w:w="8562" w:type="dxa"/>
        <w:tblInd w:w="720" w:type="dxa"/>
        <w:tblLook w:val="04A0" w:firstRow="1" w:lastRow="0" w:firstColumn="1" w:lastColumn="0" w:noHBand="0" w:noVBand="1"/>
      </w:tblPr>
      <w:tblGrid>
        <w:gridCol w:w="1008"/>
        <w:gridCol w:w="6114"/>
        <w:gridCol w:w="1440"/>
      </w:tblGrid>
      <w:tr w:rsidR="003B5791" w:rsidTr="003B5791">
        <w:tc>
          <w:tcPr>
            <w:tcW w:w="1008" w:type="dxa"/>
          </w:tcPr>
          <w:p w:rsidR="003B5791" w:rsidRPr="005A764A" w:rsidRDefault="005A764A" w:rsidP="003B5791">
            <w:pPr>
              <w:pStyle w:val="ListParagraph"/>
              <w:ind w:left="0"/>
              <w:rPr>
                <w:rFonts w:ascii="Arial Narrow" w:hAnsi="Arial Narrow" w:cs="Helvetica"/>
                <w:b/>
                <w:color w:val="2D3B45"/>
                <w:szCs w:val="21"/>
                <w:shd w:val="clear" w:color="auto" w:fill="FFFFFF"/>
              </w:rPr>
            </w:pPr>
            <w:r w:rsidRPr="005A764A">
              <w:rPr>
                <w:rFonts w:ascii="Arial Narrow" w:hAnsi="Arial Narrow" w:cs="Helvetica"/>
                <w:b/>
                <w:color w:val="2D3B45"/>
                <w:szCs w:val="21"/>
                <w:shd w:val="clear" w:color="auto" w:fill="FFFFFF"/>
              </w:rPr>
              <w:t>Slides</w:t>
            </w:r>
          </w:p>
        </w:tc>
        <w:tc>
          <w:tcPr>
            <w:tcW w:w="6114" w:type="dxa"/>
          </w:tcPr>
          <w:p w:rsidR="003B5791" w:rsidRPr="005A764A" w:rsidRDefault="003B5791" w:rsidP="003B5791">
            <w:pPr>
              <w:pStyle w:val="ListParagraph"/>
              <w:ind w:left="0"/>
              <w:rPr>
                <w:rFonts w:ascii="Arial Narrow" w:hAnsi="Arial Narrow" w:cs="Helvetica"/>
                <w:b/>
                <w:color w:val="2D3B45"/>
                <w:szCs w:val="21"/>
                <w:shd w:val="clear" w:color="auto" w:fill="FFFFFF"/>
              </w:rPr>
            </w:pPr>
            <w:r w:rsidRPr="005A764A">
              <w:rPr>
                <w:rFonts w:ascii="Arial Narrow" w:hAnsi="Arial Narrow" w:cs="Helvetica"/>
                <w:b/>
                <w:color w:val="2D3B45"/>
                <w:szCs w:val="21"/>
                <w:shd w:val="clear" w:color="auto" w:fill="FFFFFF"/>
              </w:rPr>
              <w:t>Description</w:t>
            </w:r>
          </w:p>
        </w:tc>
        <w:tc>
          <w:tcPr>
            <w:tcW w:w="1440" w:type="dxa"/>
          </w:tcPr>
          <w:p w:rsidR="003B5791" w:rsidRPr="005A764A" w:rsidRDefault="003B5791" w:rsidP="003B5791">
            <w:pPr>
              <w:pStyle w:val="ListParagraph"/>
              <w:ind w:left="0"/>
              <w:rPr>
                <w:rFonts w:ascii="Arial Narrow" w:hAnsi="Arial Narrow" w:cs="Helvetica"/>
                <w:b/>
                <w:color w:val="2D3B45"/>
                <w:szCs w:val="21"/>
                <w:shd w:val="clear" w:color="auto" w:fill="FFFFFF"/>
              </w:rPr>
            </w:pPr>
            <w:r w:rsidRPr="005A764A">
              <w:rPr>
                <w:rFonts w:ascii="Arial Narrow" w:hAnsi="Arial Narrow" w:cs="Helvetica"/>
                <w:b/>
                <w:color w:val="2D3B45"/>
                <w:szCs w:val="21"/>
                <w:shd w:val="clear" w:color="auto" w:fill="FFFFFF"/>
              </w:rPr>
              <w:t>Assigned to:</w:t>
            </w:r>
          </w:p>
        </w:tc>
      </w:tr>
      <w:tr w:rsidR="003B5791" w:rsidTr="003B5791">
        <w:tc>
          <w:tcPr>
            <w:tcW w:w="1008" w:type="dxa"/>
          </w:tcPr>
          <w:p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 xml:space="preserve">Title </w:t>
            </w:r>
          </w:p>
        </w:tc>
        <w:tc>
          <w:tcPr>
            <w:tcW w:w="6114" w:type="dxa"/>
          </w:tcPr>
          <w:p w:rsidR="003B5791" w:rsidRPr="00A13922" w:rsidRDefault="003B5791" w:rsidP="003B5791">
            <w:pPr>
              <w:pStyle w:val="ListParagraph"/>
              <w:ind w:left="0"/>
              <w:rPr>
                <w:rFonts w:ascii="Arial Narrow" w:hAnsi="Arial Narrow" w:cs="Helvetica"/>
                <w:color w:val="2D3B45"/>
                <w:szCs w:val="21"/>
                <w:shd w:val="clear" w:color="auto" w:fill="FFFFFF"/>
              </w:rPr>
            </w:pPr>
          </w:p>
        </w:tc>
        <w:tc>
          <w:tcPr>
            <w:tcW w:w="1440" w:type="dxa"/>
          </w:tcPr>
          <w:p w:rsidR="003B5791" w:rsidRPr="00A13922" w:rsidRDefault="003B5791" w:rsidP="003B5791">
            <w:pPr>
              <w:pStyle w:val="ListParagraph"/>
              <w:ind w:left="0"/>
              <w:rPr>
                <w:rFonts w:ascii="Arial Narrow" w:hAnsi="Arial Narrow" w:cs="Helvetica"/>
                <w:color w:val="2D3B45"/>
                <w:szCs w:val="21"/>
                <w:shd w:val="clear" w:color="auto" w:fill="FFFFFF"/>
              </w:rPr>
            </w:pPr>
          </w:p>
        </w:tc>
      </w:tr>
      <w:tr w:rsidR="003B5791" w:rsidTr="003B5791">
        <w:tc>
          <w:tcPr>
            <w:tcW w:w="1008" w:type="dxa"/>
          </w:tcPr>
          <w:p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Slide 1</w:t>
            </w:r>
          </w:p>
        </w:tc>
        <w:tc>
          <w:tcPr>
            <w:tcW w:w="6114" w:type="dxa"/>
          </w:tcPr>
          <w:p w:rsidR="003B5791" w:rsidRPr="00A13922" w:rsidRDefault="00A13922"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Introduction</w:t>
            </w:r>
          </w:p>
        </w:tc>
        <w:tc>
          <w:tcPr>
            <w:tcW w:w="1440" w:type="dxa"/>
          </w:tcPr>
          <w:p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Brown</w:t>
            </w:r>
          </w:p>
        </w:tc>
      </w:tr>
      <w:tr w:rsidR="003B5791" w:rsidTr="003B5791">
        <w:tc>
          <w:tcPr>
            <w:tcW w:w="1008" w:type="dxa"/>
          </w:tcPr>
          <w:p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Slide 2</w:t>
            </w:r>
          </w:p>
        </w:tc>
        <w:tc>
          <w:tcPr>
            <w:tcW w:w="6114" w:type="dxa"/>
          </w:tcPr>
          <w:p w:rsidR="003B5791"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WorldCom’s History and Background</w:t>
            </w:r>
          </w:p>
        </w:tc>
        <w:tc>
          <w:tcPr>
            <w:tcW w:w="1440" w:type="dxa"/>
          </w:tcPr>
          <w:p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Brown</w:t>
            </w:r>
          </w:p>
        </w:tc>
      </w:tr>
      <w:tr w:rsidR="008B3348" w:rsidTr="003B5791">
        <w:tc>
          <w:tcPr>
            <w:tcW w:w="1008" w:type="dxa"/>
          </w:tcPr>
          <w:p w:rsidR="008B3348"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Slide 3</w:t>
            </w:r>
          </w:p>
        </w:tc>
        <w:tc>
          <w:tcPr>
            <w:tcW w:w="6114" w:type="dxa"/>
            <w:vMerge w:val="restart"/>
          </w:tcPr>
          <w:p w:rsidR="008B3348"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WorldCom’s Corporate Culture Overview</w:t>
            </w:r>
          </w:p>
          <w:p w:rsidR="008B3348" w:rsidRDefault="008B3348" w:rsidP="008B3348">
            <w:pPr>
              <w:pStyle w:val="ListParagraph"/>
              <w:numPr>
                <w:ilvl w:val="0"/>
                <w:numId w:val="7"/>
              </w:numPr>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Who was involved in the scandal?</w:t>
            </w:r>
          </w:p>
        </w:tc>
        <w:tc>
          <w:tcPr>
            <w:tcW w:w="1440" w:type="dxa"/>
            <w:vMerge w:val="restart"/>
          </w:tcPr>
          <w:p w:rsidR="008B3348"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Brown</w:t>
            </w:r>
          </w:p>
        </w:tc>
      </w:tr>
      <w:tr w:rsidR="008B3348" w:rsidTr="003B5791">
        <w:tc>
          <w:tcPr>
            <w:tcW w:w="1008" w:type="dxa"/>
          </w:tcPr>
          <w:p w:rsidR="008B3348" w:rsidRPr="00A13922" w:rsidRDefault="008B3348" w:rsidP="003B5791">
            <w:pPr>
              <w:pStyle w:val="ListParagraph"/>
              <w:ind w:left="0"/>
              <w:rPr>
                <w:rFonts w:ascii="Arial Narrow" w:hAnsi="Arial Narrow" w:cs="Helvetica"/>
                <w:color w:val="2D3B45"/>
                <w:szCs w:val="21"/>
                <w:shd w:val="clear" w:color="auto" w:fill="FFFFFF"/>
              </w:rPr>
            </w:pPr>
          </w:p>
        </w:tc>
        <w:tc>
          <w:tcPr>
            <w:tcW w:w="6114" w:type="dxa"/>
            <w:vMerge/>
          </w:tcPr>
          <w:p w:rsidR="008B3348" w:rsidRDefault="008B3348" w:rsidP="008B3348">
            <w:pPr>
              <w:pStyle w:val="ListParagraph"/>
              <w:numPr>
                <w:ilvl w:val="0"/>
                <w:numId w:val="7"/>
              </w:numPr>
              <w:rPr>
                <w:rFonts w:ascii="Arial Narrow" w:hAnsi="Arial Narrow" w:cs="Helvetica"/>
                <w:color w:val="2D3B45"/>
                <w:szCs w:val="21"/>
                <w:shd w:val="clear" w:color="auto" w:fill="FFFFFF"/>
              </w:rPr>
            </w:pPr>
          </w:p>
        </w:tc>
        <w:tc>
          <w:tcPr>
            <w:tcW w:w="1440" w:type="dxa"/>
            <w:vMerge/>
          </w:tcPr>
          <w:p w:rsidR="008B3348" w:rsidRPr="00A13922" w:rsidRDefault="008B3348" w:rsidP="003B5791">
            <w:pPr>
              <w:pStyle w:val="ListParagraph"/>
              <w:ind w:left="0"/>
              <w:rPr>
                <w:rFonts w:ascii="Arial Narrow" w:hAnsi="Arial Narrow" w:cs="Helvetica"/>
                <w:color w:val="2D3B45"/>
                <w:szCs w:val="21"/>
                <w:shd w:val="clear" w:color="auto" w:fill="FFFFFF"/>
              </w:rPr>
            </w:pPr>
          </w:p>
        </w:tc>
      </w:tr>
      <w:tr w:rsidR="008B3348" w:rsidTr="003B5791">
        <w:tc>
          <w:tcPr>
            <w:tcW w:w="1008" w:type="dxa"/>
          </w:tcPr>
          <w:p w:rsidR="008B3348" w:rsidRPr="00A13922" w:rsidRDefault="008B3348"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 xml:space="preserve">Slide </w:t>
            </w:r>
            <w:r>
              <w:rPr>
                <w:rFonts w:ascii="Arial Narrow" w:hAnsi="Arial Narrow" w:cs="Helvetica"/>
                <w:color w:val="2D3B45"/>
                <w:szCs w:val="21"/>
                <w:shd w:val="clear" w:color="auto" w:fill="FFFFFF"/>
              </w:rPr>
              <w:t>4</w:t>
            </w:r>
          </w:p>
        </w:tc>
        <w:tc>
          <w:tcPr>
            <w:tcW w:w="6114" w:type="dxa"/>
            <w:vMerge w:val="restart"/>
          </w:tcPr>
          <w:p w:rsidR="008B3348"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 xml:space="preserve">WorldCom’s </w:t>
            </w:r>
            <w:r w:rsidRPr="00A13922">
              <w:rPr>
                <w:rFonts w:ascii="Arial Narrow" w:hAnsi="Arial Narrow" w:cs="Helvetica"/>
                <w:color w:val="2D3B45"/>
                <w:szCs w:val="21"/>
                <w:shd w:val="clear" w:color="auto" w:fill="FFFFFF"/>
              </w:rPr>
              <w:t>Fraudulent Accounting Practices</w:t>
            </w:r>
          </w:p>
          <w:p w:rsidR="008B3348" w:rsidRPr="00A13922" w:rsidRDefault="008B3348" w:rsidP="003B5791">
            <w:pPr>
              <w:pStyle w:val="ListParagraph"/>
              <w:numPr>
                <w:ilvl w:val="0"/>
                <w:numId w:val="6"/>
              </w:numPr>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Compliance versus Value-based Ethical Cultures</w:t>
            </w:r>
          </w:p>
        </w:tc>
        <w:tc>
          <w:tcPr>
            <w:tcW w:w="1440" w:type="dxa"/>
            <w:vMerge w:val="restart"/>
          </w:tcPr>
          <w:p w:rsidR="008B3348" w:rsidRPr="00A13922" w:rsidRDefault="008B3348"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Wright</w:t>
            </w:r>
          </w:p>
        </w:tc>
      </w:tr>
      <w:tr w:rsidR="008B3348" w:rsidTr="003B5791">
        <w:tc>
          <w:tcPr>
            <w:tcW w:w="1008" w:type="dxa"/>
          </w:tcPr>
          <w:p w:rsidR="008B3348" w:rsidRPr="00A13922" w:rsidRDefault="008B3348" w:rsidP="003B5791">
            <w:pPr>
              <w:pStyle w:val="ListParagraph"/>
              <w:ind w:left="0"/>
              <w:rPr>
                <w:rFonts w:ascii="Arial Narrow" w:hAnsi="Arial Narrow" w:cs="Helvetica"/>
                <w:color w:val="2D3B45"/>
                <w:szCs w:val="21"/>
                <w:shd w:val="clear" w:color="auto" w:fill="FFFFFF"/>
              </w:rPr>
            </w:pPr>
          </w:p>
        </w:tc>
        <w:tc>
          <w:tcPr>
            <w:tcW w:w="6114" w:type="dxa"/>
            <w:vMerge/>
          </w:tcPr>
          <w:p w:rsidR="008B3348" w:rsidRPr="00A13922" w:rsidRDefault="008B3348" w:rsidP="003B5791">
            <w:pPr>
              <w:pStyle w:val="ListParagraph"/>
              <w:numPr>
                <w:ilvl w:val="0"/>
                <w:numId w:val="6"/>
              </w:numPr>
              <w:rPr>
                <w:rFonts w:ascii="Arial Narrow" w:hAnsi="Arial Narrow" w:cs="Helvetica"/>
                <w:color w:val="2D3B45"/>
                <w:szCs w:val="21"/>
                <w:shd w:val="clear" w:color="auto" w:fill="FFFFFF"/>
              </w:rPr>
            </w:pPr>
          </w:p>
        </w:tc>
        <w:tc>
          <w:tcPr>
            <w:tcW w:w="1440" w:type="dxa"/>
            <w:vMerge/>
          </w:tcPr>
          <w:p w:rsidR="008B3348" w:rsidRPr="00A13922" w:rsidRDefault="008B3348" w:rsidP="003B5791">
            <w:pPr>
              <w:pStyle w:val="ListParagraph"/>
              <w:ind w:left="0"/>
              <w:rPr>
                <w:rFonts w:ascii="Arial Narrow" w:hAnsi="Arial Narrow" w:cs="Helvetica"/>
                <w:color w:val="2D3B45"/>
                <w:szCs w:val="21"/>
                <w:shd w:val="clear" w:color="auto" w:fill="FFFFFF"/>
              </w:rPr>
            </w:pPr>
          </w:p>
        </w:tc>
      </w:tr>
      <w:tr w:rsidR="008B3348" w:rsidTr="003B5791">
        <w:tc>
          <w:tcPr>
            <w:tcW w:w="1008" w:type="dxa"/>
          </w:tcPr>
          <w:p w:rsidR="008B3348" w:rsidRPr="00A13922" w:rsidRDefault="008B3348"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 xml:space="preserve">Slide </w:t>
            </w:r>
            <w:r>
              <w:rPr>
                <w:rFonts w:ascii="Arial Narrow" w:hAnsi="Arial Narrow" w:cs="Helvetica"/>
                <w:color w:val="2D3B45"/>
                <w:szCs w:val="21"/>
                <w:shd w:val="clear" w:color="auto" w:fill="FFFFFF"/>
              </w:rPr>
              <w:t>5</w:t>
            </w:r>
          </w:p>
        </w:tc>
        <w:tc>
          <w:tcPr>
            <w:tcW w:w="6114" w:type="dxa"/>
            <w:vMerge w:val="restart"/>
          </w:tcPr>
          <w:p w:rsidR="008B3348" w:rsidRPr="00A13922" w:rsidRDefault="008B3348"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Leadership Influence on the WorldCom’s Corporate Culture</w:t>
            </w:r>
          </w:p>
          <w:p w:rsidR="008B3348" w:rsidRPr="00A13922" w:rsidRDefault="008B3348" w:rsidP="00A13922">
            <w:pPr>
              <w:pStyle w:val="ListParagraph"/>
              <w:numPr>
                <w:ilvl w:val="0"/>
                <w:numId w:val="6"/>
              </w:numPr>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Types of Power that Shaped the WorldCom Corporate Culture</w:t>
            </w:r>
          </w:p>
        </w:tc>
        <w:tc>
          <w:tcPr>
            <w:tcW w:w="1440" w:type="dxa"/>
            <w:vMerge w:val="restart"/>
          </w:tcPr>
          <w:p w:rsidR="008B3348" w:rsidRPr="00A13922" w:rsidRDefault="008B3348"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Stallcup</w:t>
            </w:r>
          </w:p>
        </w:tc>
      </w:tr>
      <w:tr w:rsidR="008B3348" w:rsidTr="003B5791">
        <w:tc>
          <w:tcPr>
            <w:tcW w:w="1008" w:type="dxa"/>
          </w:tcPr>
          <w:p w:rsidR="008B3348" w:rsidRPr="00A13922" w:rsidRDefault="008B3348" w:rsidP="003B5791">
            <w:pPr>
              <w:pStyle w:val="ListParagraph"/>
              <w:ind w:left="0"/>
              <w:rPr>
                <w:rFonts w:ascii="Arial Narrow" w:hAnsi="Arial Narrow" w:cs="Helvetica"/>
                <w:color w:val="2D3B45"/>
                <w:szCs w:val="21"/>
                <w:shd w:val="clear" w:color="auto" w:fill="FFFFFF"/>
              </w:rPr>
            </w:pPr>
          </w:p>
        </w:tc>
        <w:tc>
          <w:tcPr>
            <w:tcW w:w="6114" w:type="dxa"/>
            <w:vMerge/>
          </w:tcPr>
          <w:p w:rsidR="008B3348" w:rsidRPr="00A13922" w:rsidRDefault="008B3348" w:rsidP="00A13922">
            <w:pPr>
              <w:pStyle w:val="ListParagraph"/>
              <w:numPr>
                <w:ilvl w:val="0"/>
                <w:numId w:val="6"/>
              </w:numPr>
              <w:rPr>
                <w:rFonts w:ascii="Arial Narrow" w:hAnsi="Arial Narrow" w:cs="Helvetica"/>
                <w:color w:val="2D3B45"/>
                <w:szCs w:val="21"/>
                <w:shd w:val="clear" w:color="auto" w:fill="FFFFFF"/>
              </w:rPr>
            </w:pPr>
          </w:p>
        </w:tc>
        <w:tc>
          <w:tcPr>
            <w:tcW w:w="1440" w:type="dxa"/>
            <w:vMerge/>
          </w:tcPr>
          <w:p w:rsidR="008B3348" w:rsidRPr="00A13922" w:rsidRDefault="008B3348" w:rsidP="003B5791">
            <w:pPr>
              <w:pStyle w:val="ListParagraph"/>
              <w:ind w:left="0"/>
              <w:rPr>
                <w:rFonts w:ascii="Arial Narrow" w:hAnsi="Arial Narrow" w:cs="Helvetica"/>
                <w:color w:val="2D3B45"/>
                <w:szCs w:val="21"/>
                <w:shd w:val="clear" w:color="auto" w:fill="FFFFFF"/>
              </w:rPr>
            </w:pPr>
          </w:p>
        </w:tc>
      </w:tr>
      <w:tr w:rsidR="003B5791" w:rsidTr="003B5791">
        <w:tc>
          <w:tcPr>
            <w:tcW w:w="1008" w:type="dxa"/>
          </w:tcPr>
          <w:p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 xml:space="preserve">Slide </w:t>
            </w:r>
            <w:r w:rsidR="008B3348">
              <w:rPr>
                <w:rFonts w:ascii="Arial Narrow" w:hAnsi="Arial Narrow" w:cs="Helvetica"/>
                <w:color w:val="2D3B45"/>
                <w:szCs w:val="21"/>
                <w:shd w:val="clear" w:color="auto" w:fill="FFFFFF"/>
              </w:rPr>
              <w:t>6</w:t>
            </w:r>
          </w:p>
        </w:tc>
        <w:tc>
          <w:tcPr>
            <w:tcW w:w="6114" w:type="dxa"/>
          </w:tcPr>
          <w:p w:rsidR="003B5791"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Auditing Team Blows the Whistle</w:t>
            </w:r>
          </w:p>
        </w:tc>
        <w:tc>
          <w:tcPr>
            <w:tcW w:w="1440" w:type="dxa"/>
          </w:tcPr>
          <w:p w:rsidR="003B5791"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Salmon</w:t>
            </w:r>
          </w:p>
        </w:tc>
      </w:tr>
      <w:tr w:rsidR="003B5791" w:rsidTr="003B5791">
        <w:tc>
          <w:tcPr>
            <w:tcW w:w="1008" w:type="dxa"/>
          </w:tcPr>
          <w:p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 xml:space="preserve">Slide </w:t>
            </w:r>
            <w:r w:rsidR="008B3348">
              <w:rPr>
                <w:rFonts w:ascii="Arial Narrow" w:hAnsi="Arial Narrow" w:cs="Helvetica"/>
                <w:color w:val="2D3B45"/>
                <w:szCs w:val="21"/>
                <w:shd w:val="clear" w:color="auto" w:fill="FFFFFF"/>
              </w:rPr>
              <w:t>7</w:t>
            </w:r>
          </w:p>
        </w:tc>
        <w:tc>
          <w:tcPr>
            <w:tcW w:w="6114" w:type="dxa"/>
          </w:tcPr>
          <w:p w:rsidR="003B5791"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The Aftermath (what happened to the people/company)</w:t>
            </w:r>
          </w:p>
        </w:tc>
        <w:tc>
          <w:tcPr>
            <w:tcW w:w="1440" w:type="dxa"/>
          </w:tcPr>
          <w:p w:rsidR="003B5791"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Stallcup</w:t>
            </w:r>
          </w:p>
        </w:tc>
      </w:tr>
      <w:tr w:rsidR="003B5791" w:rsidTr="003B5791">
        <w:tc>
          <w:tcPr>
            <w:tcW w:w="1008" w:type="dxa"/>
          </w:tcPr>
          <w:p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 xml:space="preserve">Slide </w:t>
            </w:r>
            <w:r w:rsidR="008B3348">
              <w:rPr>
                <w:rFonts w:ascii="Arial Narrow" w:hAnsi="Arial Narrow" w:cs="Helvetica"/>
                <w:color w:val="2D3B45"/>
                <w:szCs w:val="21"/>
                <w:shd w:val="clear" w:color="auto" w:fill="FFFFFF"/>
              </w:rPr>
              <w:t>8</w:t>
            </w:r>
          </w:p>
        </w:tc>
        <w:tc>
          <w:tcPr>
            <w:tcW w:w="6114" w:type="dxa"/>
          </w:tcPr>
          <w:p w:rsidR="003B5791"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Lessons Learned from WorldCom (include Sarbanes-Oxley Act)</w:t>
            </w:r>
          </w:p>
        </w:tc>
        <w:tc>
          <w:tcPr>
            <w:tcW w:w="1440" w:type="dxa"/>
          </w:tcPr>
          <w:p w:rsidR="003B5791"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Salmon</w:t>
            </w:r>
          </w:p>
        </w:tc>
      </w:tr>
      <w:tr w:rsidR="003B5791" w:rsidTr="003B5791">
        <w:tc>
          <w:tcPr>
            <w:tcW w:w="1008" w:type="dxa"/>
          </w:tcPr>
          <w:p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Slide 9</w:t>
            </w:r>
          </w:p>
        </w:tc>
        <w:tc>
          <w:tcPr>
            <w:tcW w:w="6114" w:type="dxa"/>
          </w:tcPr>
          <w:p w:rsidR="003B5791" w:rsidRPr="00A13922" w:rsidRDefault="005A764A"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Summary/</w:t>
            </w:r>
            <w:r w:rsidR="00A13922">
              <w:rPr>
                <w:rFonts w:ascii="Arial Narrow" w:hAnsi="Arial Narrow" w:cs="Helvetica"/>
                <w:color w:val="2D3B45"/>
                <w:szCs w:val="21"/>
                <w:shd w:val="clear" w:color="auto" w:fill="FFFFFF"/>
              </w:rPr>
              <w:t>Conclusion</w:t>
            </w:r>
          </w:p>
        </w:tc>
        <w:tc>
          <w:tcPr>
            <w:tcW w:w="1440" w:type="dxa"/>
          </w:tcPr>
          <w:p w:rsidR="003B5791" w:rsidRPr="00A13922" w:rsidRDefault="00B17036"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Brown</w:t>
            </w:r>
            <w:bookmarkStart w:id="0" w:name="_GoBack"/>
            <w:bookmarkEnd w:id="0"/>
          </w:p>
        </w:tc>
      </w:tr>
      <w:tr w:rsidR="003B5791" w:rsidTr="003B5791">
        <w:tc>
          <w:tcPr>
            <w:tcW w:w="1008" w:type="dxa"/>
          </w:tcPr>
          <w:p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Slide 10</w:t>
            </w:r>
          </w:p>
        </w:tc>
        <w:tc>
          <w:tcPr>
            <w:tcW w:w="6114" w:type="dxa"/>
          </w:tcPr>
          <w:p w:rsidR="003B5791" w:rsidRPr="00A13922" w:rsidRDefault="00A13922"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References</w:t>
            </w:r>
          </w:p>
        </w:tc>
        <w:tc>
          <w:tcPr>
            <w:tcW w:w="1440" w:type="dxa"/>
          </w:tcPr>
          <w:p w:rsidR="003B5791" w:rsidRPr="00A13922" w:rsidRDefault="00A13922"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All</w:t>
            </w:r>
          </w:p>
        </w:tc>
      </w:tr>
    </w:tbl>
    <w:p w:rsidR="003B5791" w:rsidRDefault="003B5791" w:rsidP="003B5791">
      <w:pPr>
        <w:pStyle w:val="ListParagraph"/>
        <w:spacing w:after="0" w:line="240" w:lineRule="auto"/>
        <w:rPr>
          <w:rFonts w:ascii="Helvetica" w:hAnsi="Helvetica" w:cs="Helvetica"/>
          <w:color w:val="2D3B45"/>
          <w:sz w:val="21"/>
          <w:szCs w:val="21"/>
          <w:shd w:val="clear" w:color="auto" w:fill="FFFFFF"/>
        </w:rPr>
      </w:pPr>
    </w:p>
    <w:p w:rsidR="003B5791" w:rsidRPr="008B3348" w:rsidRDefault="00A13922" w:rsidP="008B3348">
      <w:pPr>
        <w:pStyle w:val="ListParagraph"/>
        <w:spacing w:after="0" w:line="240" w:lineRule="auto"/>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 xml:space="preserve">All of us are </w:t>
      </w:r>
      <w:r w:rsidR="00B17036">
        <w:rPr>
          <w:rFonts w:ascii="Helvetica" w:hAnsi="Helvetica" w:cs="Helvetica"/>
          <w:color w:val="2D3B45"/>
          <w:sz w:val="21"/>
          <w:szCs w:val="21"/>
          <w:shd w:val="clear" w:color="auto" w:fill="FFFFFF"/>
        </w:rPr>
        <w:t xml:space="preserve">also </w:t>
      </w:r>
      <w:r>
        <w:rPr>
          <w:rFonts w:ascii="Helvetica" w:hAnsi="Helvetica" w:cs="Helvetica"/>
          <w:color w:val="2D3B45"/>
          <w:sz w:val="21"/>
          <w:szCs w:val="21"/>
          <w:shd w:val="clear" w:color="auto" w:fill="FFFFFF"/>
        </w:rPr>
        <w:t xml:space="preserve">responsible for proofreading completed product and verifying that each section is plagiarism free.  </w:t>
      </w:r>
    </w:p>
    <w:sectPr w:rsidR="003B5791" w:rsidRPr="008B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4E31"/>
    <w:multiLevelType w:val="hybridMultilevel"/>
    <w:tmpl w:val="E9EA681C"/>
    <w:lvl w:ilvl="0" w:tplc="C0AC0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E2285"/>
    <w:multiLevelType w:val="hybridMultilevel"/>
    <w:tmpl w:val="10ACE2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1180F"/>
    <w:multiLevelType w:val="hybridMultilevel"/>
    <w:tmpl w:val="777C2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45CF4"/>
    <w:multiLevelType w:val="hybridMultilevel"/>
    <w:tmpl w:val="A89C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924AF"/>
    <w:multiLevelType w:val="hybridMultilevel"/>
    <w:tmpl w:val="99CC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2058E"/>
    <w:multiLevelType w:val="hybridMultilevel"/>
    <w:tmpl w:val="655A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597F31"/>
    <w:multiLevelType w:val="hybridMultilevel"/>
    <w:tmpl w:val="B1DE2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FB"/>
    <w:rsid w:val="00385CB8"/>
    <w:rsid w:val="003B5791"/>
    <w:rsid w:val="005A764A"/>
    <w:rsid w:val="005C1F1A"/>
    <w:rsid w:val="006364FB"/>
    <w:rsid w:val="008B3348"/>
    <w:rsid w:val="00A13922"/>
    <w:rsid w:val="00B17036"/>
    <w:rsid w:val="00BB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A570"/>
  <w15:chartTrackingRefBased/>
  <w15:docId w15:val="{5176C160-7498-4BDE-A042-6012620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F1A"/>
    <w:pPr>
      <w:ind w:left="720"/>
      <w:contextualSpacing/>
    </w:pPr>
  </w:style>
  <w:style w:type="table" w:styleId="TableGrid">
    <w:name w:val="Table Grid"/>
    <w:basedOn w:val="TableNormal"/>
    <w:uiPriority w:val="59"/>
    <w:rsid w:val="003B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Stallcup</dc:creator>
  <cp:keywords/>
  <dc:description/>
  <cp:lastModifiedBy>J.J. Stallcup</cp:lastModifiedBy>
  <cp:revision>1</cp:revision>
  <dcterms:created xsi:type="dcterms:W3CDTF">2017-04-23T16:51:00Z</dcterms:created>
  <dcterms:modified xsi:type="dcterms:W3CDTF">2017-04-23T18:31:00Z</dcterms:modified>
</cp:coreProperties>
</file>