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0A205A" w14:textId="77777777" w:rsidR="003844B4" w:rsidRDefault="003844B4" w:rsidP="003844B4">
      <w:pPr>
        <w:pStyle w:val="NormalWeb"/>
      </w:pPr>
      <w:bookmarkStart w:id="0" w:name="_GoBack"/>
      <w:bookmarkEnd w:id="0"/>
      <w:r>
        <w:rPr>
          <w:rFonts w:ascii="Calibri" w:hAnsi="Calibri"/>
          <w:b/>
          <w:bCs/>
          <w:shd w:val="clear" w:color="auto" w:fill="C1D399"/>
        </w:rPr>
        <w:t xml:space="preserve">COMPLETED PAPERS </w:t>
      </w:r>
    </w:p>
    <w:p w14:paraId="0F87E29B" w14:textId="77777777" w:rsidR="003844B4" w:rsidRDefault="003844B4" w:rsidP="003844B4">
      <w:pPr>
        <w:pStyle w:val="NormalWeb"/>
      </w:pPr>
      <w:r>
        <w:rPr>
          <w:rFonts w:ascii="Calibri" w:hAnsi="Calibri"/>
        </w:rPr>
        <w:t xml:space="preserve">Finished papers should ... </w:t>
      </w:r>
    </w:p>
    <w:p w14:paraId="6B0D19D7" w14:textId="77777777" w:rsidR="003844B4" w:rsidRDefault="003844B4" w:rsidP="003844B4">
      <w:pPr>
        <w:pStyle w:val="NormalWeb"/>
        <w:numPr>
          <w:ilvl w:val="0"/>
          <w:numId w:val="1"/>
        </w:numPr>
      </w:pPr>
      <w:r>
        <w:rPr>
          <w:rFonts w:ascii="Wingdings" w:hAnsi="Wingdings"/>
        </w:rPr>
        <w:sym w:font="Wingdings" w:char="F0FC"/>
      </w:r>
      <w:r>
        <w:rPr>
          <w:rFonts w:ascii="Wingdings" w:hAnsi="Wingdings"/>
        </w:rPr>
        <w:t></w:t>
      </w:r>
      <w:r>
        <w:rPr>
          <w:rFonts w:ascii="Wingdings"/>
        </w:rPr>
        <w:t> </w:t>
      </w:r>
      <w:r>
        <w:rPr>
          <w:rFonts w:ascii="Calibri" w:hAnsi="Calibri"/>
        </w:rPr>
        <w:t xml:space="preserve">Have a title page with the title of your paper, your name, your professors name, your </w:t>
      </w:r>
      <w:r w:rsidRPr="003844B4">
        <w:rPr>
          <w:rFonts w:ascii="Calibri" w:hAnsi="Calibri"/>
        </w:rPr>
        <w:t xml:space="preserve">class title, and the date </w:t>
      </w:r>
    </w:p>
    <w:p w14:paraId="70A53C85" w14:textId="77777777" w:rsidR="003844B4" w:rsidRDefault="003844B4" w:rsidP="003844B4">
      <w:pPr>
        <w:pStyle w:val="NormalWeb"/>
        <w:numPr>
          <w:ilvl w:val="0"/>
          <w:numId w:val="1"/>
        </w:numPr>
      </w:pPr>
      <w:r>
        <w:rPr>
          <w:rFonts w:ascii="Wingdings" w:hAnsi="Wingdings"/>
        </w:rPr>
        <w:sym w:font="Wingdings" w:char="F0FC"/>
      </w:r>
      <w:r>
        <w:rPr>
          <w:rFonts w:ascii="Wingdings" w:hAnsi="Wingdings"/>
        </w:rPr>
        <w:t></w:t>
      </w:r>
      <w:r>
        <w:rPr>
          <w:rFonts w:ascii="Wingdings"/>
        </w:rPr>
        <w:t> </w:t>
      </w:r>
      <w:r>
        <w:rPr>
          <w:rFonts w:ascii="Calibri" w:hAnsi="Calibri"/>
        </w:rPr>
        <w:t xml:space="preserve">Be 10 full pages in length (Plus a title page and a reference page) </w:t>
      </w:r>
    </w:p>
    <w:p w14:paraId="0E0FBE6B" w14:textId="77777777" w:rsidR="003844B4" w:rsidRDefault="003844B4" w:rsidP="003844B4">
      <w:pPr>
        <w:pStyle w:val="NormalWeb"/>
        <w:numPr>
          <w:ilvl w:val="0"/>
          <w:numId w:val="1"/>
        </w:numPr>
      </w:pPr>
      <w:r>
        <w:rPr>
          <w:rFonts w:ascii="Wingdings" w:hAnsi="Wingdings"/>
        </w:rPr>
        <w:sym w:font="Wingdings" w:char="F0FC"/>
      </w:r>
      <w:r>
        <w:rPr>
          <w:rFonts w:ascii="Wingdings" w:hAnsi="Wingdings"/>
        </w:rPr>
        <w:t></w:t>
      </w:r>
      <w:r>
        <w:rPr>
          <w:rFonts w:ascii="Wingdings"/>
        </w:rPr>
        <w:t> </w:t>
      </w:r>
      <w:r>
        <w:rPr>
          <w:rFonts w:ascii="Calibri" w:hAnsi="Calibri"/>
        </w:rPr>
        <w:t xml:space="preserve">Include at least 7 articles </w:t>
      </w:r>
    </w:p>
    <w:p w14:paraId="0D08CB57" w14:textId="77777777" w:rsidR="003844B4" w:rsidRDefault="003844B4" w:rsidP="003844B4">
      <w:pPr>
        <w:pStyle w:val="NormalWeb"/>
        <w:numPr>
          <w:ilvl w:val="0"/>
          <w:numId w:val="1"/>
        </w:numPr>
      </w:pPr>
      <w:r>
        <w:rPr>
          <w:rFonts w:ascii="Wingdings" w:hAnsi="Wingdings"/>
        </w:rPr>
        <w:sym w:font="Wingdings" w:char="F0FC"/>
      </w:r>
      <w:r>
        <w:rPr>
          <w:rFonts w:ascii="Wingdings" w:hAnsi="Wingdings"/>
        </w:rPr>
        <w:t></w:t>
      </w:r>
      <w:r>
        <w:rPr>
          <w:rFonts w:ascii="Wingdings"/>
        </w:rPr>
        <w:t> </w:t>
      </w:r>
      <w:r>
        <w:rPr>
          <w:rFonts w:ascii="Calibri" w:hAnsi="Calibri"/>
        </w:rPr>
        <w:t xml:space="preserve">Be submitted to the Research Area in Sierra Hall 333‐G </w:t>
      </w:r>
    </w:p>
    <w:p w14:paraId="256D927D" w14:textId="77777777" w:rsidR="003844B4" w:rsidRDefault="003844B4" w:rsidP="003844B4">
      <w:pPr>
        <w:pStyle w:val="NormalWeb"/>
        <w:ind w:left="720"/>
      </w:pPr>
      <w:r>
        <w:rPr>
          <w:rFonts w:ascii="Calibri" w:hAnsi="Calibri"/>
        </w:rPr>
        <w:t xml:space="preserve">Your professor will be given the paper for grading </w:t>
      </w:r>
      <w:r>
        <w:rPr>
          <w:rFonts w:ascii="Calibri" w:hAnsi="Calibri"/>
          <w:b/>
          <w:bCs/>
          <w:color w:val="494228"/>
        </w:rPr>
        <w:t xml:space="preserve">AFTER </w:t>
      </w:r>
      <w:r>
        <w:rPr>
          <w:rFonts w:ascii="Calibri" w:hAnsi="Calibri"/>
        </w:rPr>
        <w:t xml:space="preserve">being checked by the Research Area. </w:t>
      </w:r>
      <w:r>
        <w:rPr>
          <w:rFonts w:ascii="Calibri" w:hAnsi="Calibri"/>
          <w:shd w:val="clear" w:color="auto" w:fill="C1D399"/>
        </w:rPr>
        <w:t xml:space="preserve">IMPORTANT NOTE ABOUT PLAGIARISM: </w:t>
      </w:r>
    </w:p>
    <w:p w14:paraId="77997CA1" w14:textId="77777777" w:rsidR="003844B4" w:rsidRDefault="003844B4" w:rsidP="003844B4">
      <w:pPr>
        <w:pStyle w:val="NormalWeb"/>
        <w:ind w:left="720"/>
      </w:pPr>
      <w:r>
        <w:rPr>
          <w:rFonts w:ascii="Calibri" w:hAnsi="Calibri"/>
        </w:rPr>
        <w:t>You will not receive credit for the assignment if it contains any plagiarism. Plagiarism is defined as “The act of appropriating the literary composition of another author, or excerpts, ideas, or passages there‐from, and passing the material off as one's own</w:t>
      </w:r>
      <w:r>
        <w:rPr>
          <w:rFonts w:ascii="Calibri" w:hAnsi="Calibri"/>
          <w:color w:val="006DBF"/>
        </w:rPr>
        <w:t xml:space="preserve"> </w:t>
      </w:r>
    </w:p>
    <w:p w14:paraId="564F27AB" w14:textId="77777777" w:rsidR="003844B4" w:rsidRDefault="003844B4" w:rsidP="003844B4">
      <w:pPr>
        <w:pStyle w:val="NormalWeb"/>
      </w:pPr>
      <w:r>
        <w:rPr>
          <w:rFonts w:ascii="Calibri" w:hAnsi="Calibri"/>
          <w:shd w:val="clear" w:color="auto" w:fill="C1D399"/>
        </w:rPr>
        <w:t xml:space="preserve">USING THE OVIATT LIBRARY </w:t>
      </w:r>
    </w:p>
    <w:p w14:paraId="35B1BCA3" w14:textId="77777777" w:rsidR="003844B4" w:rsidRDefault="003844B4" w:rsidP="003844B4">
      <w:pPr>
        <w:pStyle w:val="NormalWeb"/>
      </w:pPr>
      <w:r>
        <w:rPr>
          <w:rFonts w:ascii="Calibri" w:hAnsi="Calibri"/>
        </w:rPr>
        <w:t xml:space="preserve">CSUN’s </w:t>
      </w:r>
      <w:proofErr w:type="spellStart"/>
      <w:r>
        <w:rPr>
          <w:rFonts w:ascii="Calibri" w:hAnsi="Calibri"/>
        </w:rPr>
        <w:t>Oviatt</w:t>
      </w:r>
      <w:proofErr w:type="spellEnd"/>
      <w:r>
        <w:rPr>
          <w:rFonts w:ascii="Calibri" w:hAnsi="Calibri"/>
        </w:rPr>
        <w:t xml:space="preserve"> Library is located at </w:t>
      </w:r>
      <w:hyperlink r:id="rId5" w:history="1">
        <w:r w:rsidRPr="005F377B">
          <w:rPr>
            <w:rStyle w:val="Hyperlink"/>
            <w:rFonts w:ascii="Calibri" w:hAnsi="Calibri"/>
          </w:rPr>
          <w:t>http://library.</w:t>
        </w:r>
        <w:r w:rsidRPr="005F377B">
          <w:rPr>
            <w:rStyle w:val="Hyperlink"/>
            <w:rFonts w:ascii="Calibri" w:hAnsi="Calibri"/>
          </w:rPr>
          <w:t>c</w:t>
        </w:r>
        <w:r w:rsidRPr="005F377B">
          <w:rPr>
            <w:rStyle w:val="Hyperlink"/>
            <w:rFonts w:ascii="Calibri" w:hAnsi="Calibri"/>
          </w:rPr>
          <w:t>sun.edu/</w:t>
        </w:r>
      </w:hyperlink>
      <w:r>
        <w:rPr>
          <w:rFonts w:ascii="Calibri" w:hAnsi="Calibri"/>
          <w:color w:val="0000FF"/>
        </w:rPr>
        <w:t xml:space="preserve"> </w:t>
      </w:r>
      <w:r>
        <w:rPr>
          <w:rFonts w:ascii="Calibri" w:hAnsi="Calibri"/>
        </w:rPr>
        <w:t xml:space="preserve">or in the center of our campus. To search for your preferred article online, simply type the title of your chosen article into the search bar at the link provided and click “search.” The article you are looking for should be the first one on the list. </w:t>
      </w:r>
    </w:p>
    <w:p w14:paraId="7E9E9A2B" w14:textId="77777777" w:rsidR="003844B4" w:rsidRDefault="003844B4" w:rsidP="003844B4">
      <w:pPr>
        <w:pStyle w:val="NormalWeb"/>
      </w:pPr>
      <w:r>
        <w:rPr>
          <w:rFonts w:ascii="Calibri" w:hAnsi="Calibri"/>
        </w:rPr>
        <w:t xml:space="preserve">By clicking on the article, you will be taken to a review page that includes a summary. </w:t>
      </w:r>
    </w:p>
    <w:p w14:paraId="258D6579" w14:textId="77777777" w:rsidR="003844B4" w:rsidRDefault="003844B4" w:rsidP="003844B4">
      <w:pPr>
        <w:pStyle w:val="NormalWeb"/>
      </w:pPr>
      <w:r>
        <w:rPr>
          <w:rFonts w:ascii="Calibri" w:hAnsi="Calibri"/>
        </w:rPr>
        <w:t xml:space="preserve">Citing the article is easy! The summary page lists the popular formats on the right side that you can copy into your papers sources cited page. (Cited sources are NOT included in your overall page count.) Whichever format you decide to use, be consistent. (Most psychologists use APA) </w:t>
      </w:r>
    </w:p>
    <w:p w14:paraId="3C7AA48E" w14:textId="77777777" w:rsidR="003844B4" w:rsidRDefault="003844B4" w:rsidP="003844B4">
      <w:pPr>
        <w:pStyle w:val="NormalWeb"/>
      </w:pPr>
      <w:r>
        <w:rPr>
          <w:rFonts w:ascii="Calibri" w:hAnsi="Calibri"/>
          <w:shd w:val="clear" w:color="auto" w:fill="C1D399"/>
        </w:rPr>
        <w:t xml:space="preserve">PSY 150 PAPERS MUST USE AT LEAST 7 OF THESE ARTICLES... </w:t>
      </w:r>
    </w:p>
    <w:p w14:paraId="4807AE02" w14:textId="77777777" w:rsidR="003844B4" w:rsidRDefault="003844B4" w:rsidP="003844B4">
      <w:pPr>
        <w:pStyle w:val="NormalWeb"/>
      </w:pPr>
      <w:r>
        <w:rPr>
          <w:rFonts w:ascii="Calibri" w:hAnsi="Calibri"/>
        </w:rPr>
        <w:t xml:space="preserve">Addington, </w:t>
      </w:r>
      <w:proofErr w:type="gramStart"/>
      <w:r>
        <w:rPr>
          <w:rFonts w:ascii="Calibri" w:hAnsi="Calibri"/>
        </w:rPr>
        <w:t>J. ,</w:t>
      </w:r>
      <w:proofErr w:type="gramEnd"/>
      <w:r>
        <w:rPr>
          <w:rFonts w:ascii="Calibri" w:hAnsi="Calibri"/>
        </w:rPr>
        <w:t xml:space="preserve"> Penn, D. , Woods, S. , Addington, D. , &amp; Perkins, D. (2008). Social functioning in individuals at clinical high risk for psychosis. </w:t>
      </w:r>
      <w:r>
        <w:rPr>
          <w:rFonts w:ascii="Calibri" w:hAnsi="Calibri"/>
          <w:i/>
          <w:iCs/>
        </w:rPr>
        <w:t>Schizophrenia Research</w:t>
      </w:r>
      <w:r>
        <w:rPr>
          <w:rFonts w:ascii="Calibri" w:hAnsi="Calibri"/>
        </w:rPr>
        <w:t xml:space="preserve">, </w:t>
      </w:r>
      <w:r>
        <w:rPr>
          <w:rFonts w:ascii="Calibri" w:hAnsi="Calibri"/>
          <w:i/>
          <w:iCs/>
        </w:rPr>
        <w:t>99</w:t>
      </w:r>
      <w:r>
        <w:rPr>
          <w:rFonts w:ascii="Calibri" w:hAnsi="Calibri"/>
        </w:rPr>
        <w:t xml:space="preserve">(1‐3), 119‐124. </w:t>
      </w:r>
    </w:p>
    <w:p w14:paraId="69AB5512" w14:textId="77777777" w:rsidR="003844B4" w:rsidRDefault="003844B4" w:rsidP="003844B4">
      <w:pPr>
        <w:pStyle w:val="NormalWeb"/>
      </w:pPr>
      <w:r>
        <w:rPr>
          <w:rFonts w:ascii="Calibri" w:hAnsi="Calibri"/>
        </w:rPr>
        <w:t xml:space="preserve">Aguirre, </w:t>
      </w:r>
      <w:proofErr w:type="gramStart"/>
      <w:r>
        <w:rPr>
          <w:rFonts w:ascii="Calibri" w:hAnsi="Calibri"/>
        </w:rPr>
        <w:t>F. ,</w:t>
      </w:r>
      <w:proofErr w:type="gramEnd"/>
      <w:r>
        <w:rPr>
          <w:rFonts w:ascii="Calibri" w:hAnsi="Calibri"/>
        </w:rPr>
        <w:t xml:space="preserve"> </w:t>
      </w:r>
      <w:proofErr w:type="spellStart"/>
      <w:r>
        <w:rPr>
          <w:rFonts w:ascii="Calibri" w:hAnsi="Calibri"/>
        </w:rPr>
        <w:t>Sergi</w:t>
      </w:r>
      <w:proofErr w:type="spellEnd"/>
      <w:r>
        <w:rPr>
          <w:rFonts w:ascii="Calibri" w:hAnsi="Calibri"/>
        </w:rPr>
        <w:t xml:space="preserve">, M. , &amp; Levy, C. (2008). Emotional intelligence and social functioning in persons with </w:t>
      </w:r>
      <w:proofErr w:type="spellStart"/>
      <w:r>
        <w:rPr>
          <w:rFonts w:ascii="Calibri" w:hAnsi="Calibri"/>
        </w:rPr>
        <w:t>schizotypy</w:t>
      </w:r>
      <w:proofErr w:type="spellEnd"/>
      <w:r>
        <w:rPr>
          <w:rFonts w:ascii="Calibri" w:hAnsi="Calibri"/>
        </w:rPr>
        <w:t xml:space="preserve">. </w:t>
      </w:r>
      <w:r>
        <w:rPr>
          <w:rFonts w:ascii="Calibri" w:hAnsi="Calibri"/>
          <w:i/>
          <w:iCs/>
        </w:rPr>
        <w:t>Schizophrenia Research</w:t>
      </w:r>
      <w:r>
        <w:rPr>
          <w:rFonts w:ascii="Calibri" w:hAnsi="Calibri"/>
        </w:rPr>
        <w:t xml:space="preserve">, </w:t>
      </w:r>
      <w:r>
        <w:rPr>
          <w:rFonts w:ascii="Calibri" w:hAnsi="Calibri"/>
          <w:i/>
          <w:iCs/>
        </w:rPr>
        <w:t>104</w:t>
      </w:r>
      <w:r>
        <w:rPr>
          <w:rFonts w:ascii="Calibri" w:hAnsi="Calibri"/>
        </w:rPr>
        <w:t xml:space="preserve">(1), 255‐264. </w:t>
      </w:r>
    </w:p>
    <w:p w14:paraId="6CEB8547" w14:textId="77777777" w:rsidR="003844B4" w:rsidRDefault="003844B4" w:rsidP="003844B4">
      <w:pPr>
        <w:pStyle w:val="NormalWeb"/>
      </w:pPr>
      <w:proofErr w:type="spellStart"/>
      <w:r>
        <w:rPr>
          <w:rFonts w:ascii="Calibri" w:hAnsi="Calibri"/>
        </w:rPr>
        <w:t>Damisch</w:t>
      </w:r>
      <w:proofErr w:type="spellEnd"/>
      <w:r>
        <w:rPr>
          <w:rFonts w:ascii="Calibri" w:hAnsi="Calibri"/>
        </w:rPr>
        <w:t xml:space="preserve">, L., </w:t>
      </w:r>
      <w:proofErr w:type="spellStart"/>
      <w:r>
        <w:rPr>
          <w:rFonts w:ascii="Calibri" w:hAnsi="Calibri"/>
        </w:rPr>
        <w:t>Stoberock</w:t>
      </w:r>
      <w:proofErr w:type="spellEnd"/>
      <w:r>
        <w:rPr>
          <w:rFonts w:ascii="Calibri" w:hAnsi="Calibri"/>
        </w:rPr>
        <w:t xml:space="preserve">, B., &amp; </w:t>
      </w:r>
      <w:proofErr w:type="spellStart"/>
      <w:r>
        <w:rPr>
          <w:rFonts w:ascii="Calibri" w:hAnsi="Calibri"/>
        </w:rPr>
        <w:t>Mussweiler</w:t>
      </w:r>
      <w:proofErr w:type="spellEnd"/>
      <w:r>
        <w:rPr>
          <w:rFonts w:ascii="Calibri" w:hAnsi="Calibri"/>
        </w:rPr>
        <w:t xml:space="preserve">, T. (2010). Keep your fingers crossed! How superstition improves performance. Psychological Science, 21(7), 1014‐1020. doi:10.1177/0956797610372631 </w:t>
      </w:r>
    </w:p>
    <w:p w14:paraId="2264EAA8" w14:textId="77777777" w:rsidR="003844B4" w:rsidRDefault="003844B4" w:rsidP="003844B4">
      <w:pPr>
        <w:pStyle w:val="NormalWeb"/>
      </w:pPr>
      <w:r>
        <w:rPr>
          <w:rFonts w:ascii="Calibri" w:hAnsi="Calibri"/>
        </w:rPr>
        <w:t xml:space="preserve">Dunn, E. W., Gilbert, D. T., &amp; Wilson, T. D. (2011). If money doesn't make you happy, then you probably aren't spending it right. Journal </w:t>
      </w:r>
      <w:proofErr w:type="gramStart"/>
      <w:r>
        <w:rPr>
          <w:rFonts w:ascii="Calibri" w:hAnsi="Calibri"/>
        </w:rPr>
        <w:t>Of</w:t>
      </w:r>
      <w:proofErr w:type="gramEnd"/>
      <w:r>
        <w:rPr>
          <w:rFonts w:ascii="Calibri" w:hAnsi="Calibri"/>
        </w:rPr>
        <w:t xml:space="preserve"> Consumer Psychology, 21(2), 115‐125. </w:t>
      </w:r>
      <w:proofErr w:type="gramStart"/>
      <w:r>
        <w:rPr>
          <w:rFonts w:ascii="Calibri" w:hAnsi="Calibri"/>
        </w:rPr>
        <w:t>doi:10.1016/j.jcps</w:t>
      </w:r>
      <w:proofErr w:type="gramEnd"/>
      <w:r>
        <w:rPr>
          <w:rFonts w:ascii="Calibri" w:hAnsi="Calibri"/>
        </w:rPr>
        <w:t xml:space="preserve">.2011.02.002 </w:t>
      </w:r>
    </w:p>
    <w:p w14:paraId="148AFE3C" w14:textId="77777777" w:rsidR="003844B4" w:rsidRDefault="003844B4" w:rsidP="003844B4">
      <w:pPr>
        <w:pStyle w:val="NormalWeb"/>
      </w:pPr>
      <w:proofErr w:type="spellStart"/>
      <w:r>
        <w:rPr>
          <w:rFonts w:ascii="Calibri" w:hAnsi="Calibri"/>
          <w:color w:val="303030"/>
        </w:rPr>
        <w:lastRenderedPageBreak/>
        <w:t>Elfenbein</w:t>
      </w:r>
      <w:proofErr w:type="spellEnd"/>
      <w:r>
        <w:rPr>
          <w:rFonts w:ascii="Calibri" w:hAnsi="Calibri"/>
          <w:color w:val="303030"/>
        </w:rPr>
        <w:t xml:space="preserve">, H., &amp; </w:t>
      </w:r>
      <w:proofErr w:type="spellStart"/>
      <w:r>
        <w:rPr>
          <w:rFonts w:ascii="Calibri" w:hAnsi="Calibri"/>
          <w:color w:val="303030"/>
        </w:rPr>
        <w:t>Ambady</w:t>
      </w:r>
      <w:proofErr w:type="spellEnd"/>
      <w:r>
        <w:rPr>
          <w:rFonts w:ascii="Calibri" w:hAnsi="Calibri"/>
          <w:color w:val="303030"/>
        </w:rPr>
        <w:t xml:space="preserve">, N. (2003). When familiarity breeds accuracy: Cultural exposure and facial emotion recognition. </w:t>
      </w:r>
      <w:r>
        <w:rPr>
          <w:rFonts w:ascii="Calibri" w:hAnsi="Calibri"/>
          <w:i/>
          <w:iCs/>
          <w:color w:val="303030"/>
        </w:rPr>
        <w:t xml:space="preserve">Journal of Personality </w:t>
      </w:r>
      <w:proofErr w:type="gramStart"/>
      <w:r>
        <w:rPr>
          <w:rFonts w:ascii="Calibri" w:hAnsi="Calibri"/>
          <w:i/>
          <w:iCs/>
          <w:color w:val="303030"/>
        </w:rPr>
        <w:t>And</w:t>
      </w:r>
      <w:proofErr w:type="gramEnd"/>
      <w:r>
        <w:rPr>
          <w:rFonts w:ascii="Calibri" w:hAnsi="Calibri"/>
          <w:i/>
          <w:iCs/>
          <w:color w:val="303030"/>
        </w:rPr>
        <w:t xml:space="preserve"> Social Psychology</w:t>
      </w:r>
      <w:r>
        <w:rPr>
          <w:rFonts w:ascii="Calibri" w:hAnsi="Calibri"/>
          <w:color w:val="303030"/>
        </w:rPr>
        <w:t xml:space="preserve">, </w:t>
      </w:r>
      <w:r>
        <w:rPr>
          <w:rFonts w:ascii="Calibri" w:hAnsi="Calibri"/>
          <w:i/>
          <w:iCs/>
          <w:color w:val="303030"/>
        </w:rPr>
        <w:t>85</w:t>
      </w:r>
      <w:r>
        <w:rPr>
          <w:rFonts w:ascii="Calibri" w:hAnsi="Calibri"/>
          <w:color w:val="303030"/>
        </w:rPr>
        <w:t xml:space="preserve">, 276‐290. doi:10.1037/0022‐3514.85.2.276 </w:t>
      </w:r>
    </w:p>
    <w:p w14:paraId="3347F70D" w14:textId="77777777" w:rsidR="003844B4" w:rsidRDefault="003844B4" w:rsidP="003844B4">
      <w:pPr>
        <w:pStyle w:val="NormalWeb"/>
      </w:pPr>
      <w:r>
        <w:rPr>
          <w:rFonts w:ascii="Calibri" w:hAnsi="Calibri"/>
        </w:rPr>
        <w:t xml:space="preserve">Green, </w:t>
      </w:r>
      <w:proofErr w:type="gramStart"/>
      <w:r>
        <w:rPr>
          <w:rFonts w:ascii="Calibri" w:hAnsi="Calibri"/>
        </w:rPr>
        <w:t>M. ,</w:t>
      </w:r>
      <w:proofErr w:type="gramEnd"/>
      <w:r>
        <w:rPr>
          <w:rFonts w:ascii="Calibri" w:hAnsi="Calibri"/>
        </w:rPr>
        <w:t xml:space="preserve"> Bearden, C. , Cannon, T. , Fiske, A. , </w:t>
      </w:r>
      <w:proofErr w:type="spellStart"/>
      <w:r>
        <w:rPr>
          <w:rFonts w:ascii="Calibri" w:hAnsi="Calibri"/>
        </w:rPr>
        <w:t>Hellemann</w:t>
      </w:r>
      <w:proofErr w:type="spellEnd"/>
      <w:r>
        <w:rPr>
          <w:rFonts w:ascii="Calibri" w:hAnsi="Calibri"/>
        </w:rPr>
        <w:t xml:space="preserve">, G. , et al. (2012). Social cognition in schizophrenia, part 1: Performance across phase of illness. </w:t>
      </w:r>
      <w:r>
        <w:rPr>
          <w:rFonts w:ascii="Calibri" w:hAnsi="Calibri"/>
          <w:i/>
          <w:iCs/>
        </w:rPr>
        <w:t>Schizophrenia Bulletin</w:t>
      </w:r>
      <w:r>
        <w:rPr>
          <w:rFonts w:ascii="Calibri" w:hAnsi="Calibri"/>
        </w:rPr>
        <w:t xml:space="preserve">, </w:t>
      </w:r>
      <w:r>
        <w:rPr>
          <w:rFonts w:ascii="Calibri" w:hAnsi="Calibri"/>
          <w:i/>
          <w:iCs/>
        </w:rPr>
        <w:t>38</w:t>
      </w:r>
      <w:r>
        <w:rPr>
          <w:rFonts w:ascii="Calibri" w:hAnsi="Calibri"/>
        </w:rPr>
        <w:t xml:space="preserve">(4), 854‐ 864. </w:t>
      </w:r>
    </w:p>
    <w:p w14:paraId="6ADD6A7D" w14:textId="77777777" w:rsidR="003844B4" w:rsidRDefault="003844B4" w:rsidP="003844B4">
      <w:pPr>
        <w:pStyle w:val="NormalWeb"/>
      </w:pPr>
      <w:r>
        <w:rPr>
          <w:rFonts w:ascii="Calibri" w:hAnsi="Calibri"/>
          <w:color w:val="303030"/>
        </w:rPr>
        <w:t xml:space="preserve">Hong, Y., Morris, M. W., Chiu, C., &amp; </w:t>
      </w:r>
      <w:proofErr w:type="spellStart"/>
      <w:r>
        <w:rPr>
          <w:rFonts w:ascii="Calibri" w:hAnsi="Calibri"/>
          <w:color w:val="303030"/>
        </w:rPr>
        <w:t>Benet‐Martínez</w:t>
      </w:r>
      <w:proofErr w:type="spellEnd"/>
      <w:r>
        <w:rPr>
          <w:rFonts w:ascii="Calibri" w:hAnsi="Calibri"/>
          <w:color w:val="303030"/>
        </w:rPr>
        <w:t xml:space="preserve">, V. (2000). Multicultural minds: A dynamic constructivist approach to culture and cognition. </w:t>
      </w:r>
      <w:r>
        <w:rPr>
          <w:rFonts w:ascii="Calibri" w:hAnsi="Calibri"/>
          <w:i/>
          <w:iCs/>
          <w:color w:val="303030"/>
        </w:rPr>
        <w:t>American Psychologist</w:t>
      </w:r>
      <w:r>
        <w:rPr>
          <w:rFonts w:ascii="Calibri" w:hAnsi="Calibri"/>
          <w:color w:val="303030"/>
        </w:rPr>
        <w:t xml:space="preserve">, </w:t>
      </w:r>
      <w:r>
        <w:rPr>
          <w:rFonts w:ascii="Calibri" w:hAnsi="Calibri"/>
          <w:i/>
          <w:iCs/>
          <w:color w:val="303030"/>
        </w:rPr>
        <w:t>55</w:t>
      </w:r>
      <w:r>
        <w:rPr>
          <w:rFonts w:ascii="Calibri" w:hAnsi="Calibri"/>
          <w:color w:val="303030"/>
        </w:rPr>
        <w:t xml:space="preserve">, 709‐720. doi:10.1037/0003‐066X.55.7.709 </w:t>
      </w:r>
    </w:p>
    <w:p w14:paraId="4B4B232A" w14:textId="77777777" w:rsidR="003844B4" w:rsidRDefault="003844B4" w:rsidP="003844B4">
      <w:pPr>
        <w:pStyle w:val="NormalWeb"/>
      </w:pPr>
      <w:r>
        <w:rPr>
          <w:rFonts w:ascii="Calibri" w:hAnsi="Calibri"/>
        </w:rPr>
        <w:t xml:space="preserve">Horan, </w:t>
      </w:r>
      <w:proofErr w:type="gramStart"/>
      <w:r>
        <w:rPr>
          <w:rFonts w:ascii="Calibri" w:hAnsi="Calibri"/>
        </w:rPr>
        <w:t>W. ,</w:t>
      </w:r>
      <w:proofErr w:type="gramEnd"/>
      <w:r>
        <w:rPr>
          <w:rFonts w:ascii="Calibri" w:hAnsi="Calibri"/>
        </w:rPr>
        <w:t xml:space="preserve"> Green, M. , </w:t>
      </w:r>
      <w:proofErr w:type="spellStart"/>
      <w:r>
        <w:rPr>
          <w:rFonts w:ascii="Calibri" w:hAnsi="Calibri"/>
        </w:rPr>
        <w:t>DeGroot</w:t>
      </w:r>
      <w:proofErr w:type="spellEnd"/>
      <w:r>
        <w:rPr>
          <w:rFonts w:ascii="Calibri" w:hAnsi="Calibri"/>
        </w:rPr>
        <w:t xml:space="preserve">, M. , Fiske, A. , </w:t>
      </w:r>
      <w:proofErr w:type="spellStart"/>
      <w:r>
        <w:rPr>
          <w:rFonts w:ascii="Calibri" w:hAnsi="Calibri"/>
        </w:rPr>
        <w:t>Hellemann</w:t>
      </w:r>
      <w:proofErr w:type="spellEnd"/>
      <w:r>
        <w:rPr>
          <w:rFonts w:ascii="Calibri" w:hAnsi="Calibri"/>
        </w:rPr>
        <w:t xml:space="preserve">, G. , et al. (2012). Social cognition in schizophrenia, part 2: 12‐month stability and prediction of functional outcome in first‐episode patients. </w:t>
      </w:r>
      <w:r>
        <w:rPr>
          <w:rFonts w:ascii="Calibri" w:hAnsi="Calibri"/>
          <w:i/>
          <w:iCs/>
        </w:rPr>
        <w:t>Schizophrenia Bulletin</w:t>
      </w:r>
      <w:r>
        <w:rPr>
          <w:rFonts w:ascii="Calibri" w:hAnsi="Calibri"/>
        </w:rPr>
        <w:t xml:space="preserve">, </w:t>
      </w:r>
      <w:r>
        <w:rPr>
          <w:rFonts w:ascii="Calibri" w:hAnsi="Calibri"/>
          <w:i/>
          <w:iCs/>
        </w:rPr>
        <w:t>38</w:t>
      </w:r>
      <w:r>
        <w:rPr>
          <w:rFonts w:ascii="Calibri" w:hAnsi="Calibri"/>
        </w:rPr>
        <w:t xml:space="preserve">(4), 865‐872. </w:t>
      </w:r>
    </w:p>
    <w:p w14:paraId="1C90CF83" w14:textId="77777777" w:rsidR="003844B4" w:rsidRDefault="003844B4" w:rsidP="003844B4">
      <w:pPr>
        <w:pStyle w:val="NormalWeb"/>
      </w:pPr>
      <w:r>
        <w:rPr>
          <w:rFonts w:ascii="Calibri" w:hAnsi="Calibri"/>
          <w:color w:val="303030"/>
        </w:rPr>
        <w:t xml:space="preserve">Kraut, R., Patterson, M., </w:t>
      </w:r>
      <w:proofErr w:type="spellStart"/>
      <w:r>
        <w:rPr>
          <w:rFonts w:ascii="Calibri" w:hAnsi="Calibri"/>
          <w:color w:val="303030"/>
        </w:rPr>
        <w:t>Lundmark</w:t>
      </w:r>
      <w:proofErr w:type="spellEnd"/>
      <w:r>
        <w:rPr>
          <w:rFonts w:ascii="Calibri" w:hAnsi="Calibri"/>
          <w:color w:val="303030"/>
        </w:rPr>
        <w:t xml:space="preserve">, V., </w:t>
      </w:r>
      <w:proofErr w:type="spellStart"/>
      <w:r>
        <w:rPr>
          <w:rFonts w:ascii="Calibri" w:hAnsi="Calibri"/>
          <w:color w:val="303030"/>
        </w:rPr>
        <w:t>Kiesler</w:t>
      </w:r>
      <w:proofErr w:type="spellEnd"/>
      <w:r>
        <w:rPr>
          <w:rFonts w:ascii="Calibri" w:hAnsi="Calibri"/>
          <w:color w:val="303030"/>
        </w:rPr>
        <w:t xml:space="preserve">, S., </w:t>
      </w:r>
      <w:proofErr w:type="spellStart"/>
      <w:r>
        <w:rPr>
          <w:rFonts w:ascii="Calibri" w:hAnsi="Calibri"/>
          <w:color w:val="303030"/>
        </w:rPr>
        <w:t>Mukophadhyay</w:t>
      </w:r>
      <w:proofErr w:type="spellEnd"/>
      <w:r>
        <w:rPr>
          <w:rFonts w:ascii="Calibri" w:hAnsi="Calibri"/>
          <w:color w:val="303030"/>
        </w:rPr>
        <w:t xml:space="preserve">, T., &amp; </w:t>
      </w:r>
      <w:proofErr w:type="spellStart"/>
      <w:r>
        <w:rPr>
          <w:rFonts w:ascii="Calibri" w:hAnsi="Calibri"/>
          <w:color w:val="303030"/>
        </w:rPr>
        <w:t>Scherlis</w:t>
      </w:r>
      <w:proofErr w:type="spellEnd"/>
      <w:r>
        <w:rPr>
          <w:rFonts w:ascii="Calibri" w:hAnsi="Calibri"/>
          <w:color w:val="303030"/>
        </w:rPr>
        <w:t xml:space="preserve">, W. (1998). Internet paradox: A social technology that reduces social involvement and psychological well‐ </w:t>
      </w:r>
      <w:proofErr w:type="gramStart"/>
      <w:r>
        <w:rPr>
          <w:rFonts w:ascii="Calibri" w:hAnsi="Calibri"/>
          <w:color w:val="303030"/>
        </w:rPr>
        <w:t>being?.</w:t>
      </w:r>
      <w:proofErr w:type="gramEnd"/>
      <w:r>
        <w:rPr>
          <w:rFonts w:ascii="Calibri" w:hAnsi="Calibri"/>
          <w:color w:val="303030"/>
        </w:rPr>
        <w:t xml:space="preserve"> </w:t>
      </w:r>
      <w:r>
        <w:rPr>
          <w:rFonts w:ascii="Calibri" w:hAnsi="Calibri"/>
          <w:i/>
          <w:iCs/>
          <w:color w:val="303030"/>
        </w:rPr>
        <w:t>American Psychologist</w:t>
      </w:r>
      <w:r>
        <w:rPr>
          <w:rFonts w:ascii="Calibri" w:hAnsi="Calibri"/>
          <w:color w:val="303030"/>
        </w:rPr>
        <w:t xml:space="preserve">, </w:t>
      </w:r>
      <w:r>
        <w:rPr>
          <w:rFonts w:ascii="Calibri" w:hAnsi="Calibri"/>
          <w:i/>
          <w:iCs/>
          <w:color w:val="303030"/>
        </w:rPr>
        <w:t>53</w:t>
      </w:r>
      <w:r>
        <w:rPr>
          <w:rFonts w:ascii="Calibri" w:hAnsi="Calibri"/>
          <w:color w:val="303030"/>
        </w:rPr>
        <w:t xml:space="preserve">, 1017‐1031. doi:10.1037/0003‐066X.53.9.1017 </w:t>
      </w:r>
    </w:p>
    <w:p w14:paraId="7A75927A" w14:textId="77777777" w:rsidR="003844B4" w:rsidRDefault="003844B4" w:rsidP="003844B4">
      <w:pPr>
        <w:pStyle w:val="NormalWeb"/>
      </w:pPr>
      <w:proofErr w:type="spellStart"/>
      <w:r>
        <w:rPr>
          <w:rFonts w:ascii="Calibri" w:hAnsi="Calibri"/>
          <w:color w:val="303030"/>
        </w:rPr>
        <w:t>LoBue</w:t>
      </w:r>
      <w:proofErr w:type="spellEnd"/>
      <w:r>
        <w:rPr>
          <w:rFonts w:ascii="Calibri" w:hAnsi="Calibri"/>
          <w:color w:val="303030"/>
        </w:rPr>
        <w:t xml:space="preserve">, V., &amp; </w:t>
      </w:r>
      <w:proofErr w:type="spellStart"/>
      <w:r>
        <w:rPr>
          <w:rFonts w:ascii="Calibri" w:hAnsi="Calibri"/>
          <w:color w:val="303030"/>
        </w:rPr>
        <w:t>DeLoache</w:t>
      </w:r>
      <w:proofErr w:type="spellEnd"/>
      <w:r>
        <w:rPr>
          <w:rFonts w:ascii="Calibri" w:hAnsi="Calibri"/>
          <w:color w:val="303030"/>
        </w:rPr>
        <w:t xml:space="preserve">, J. S. (2008). Detecting the snake in the grass: Attention to fear‐relevant stimuli by adults and young children. </w:t>
      </w:r>
      <w:r>
        <w:rPr>
          <w:rFonts w:ascii="Calibri" w:hAnsi="Calibri"/>
          <w:i/>
          <w:iCs/>
          <w:color w:val="303030"/>
        </w:rPr>
        <w:t>Psychological Science</w:t>
      </w:r>
      <w:r>
        <w:rPr>
          <w:rFonts w:ascii="Calibri" w:hAnsi="Calibri"/>
          <w:color w:val="303030"/>
        </w:rPr>
        <w:t xml:space="preserve">, </w:t>
      </w:r>
      <w:r>
        <w:rPr>
          <w:rFonts w:ascii="Calibri" w:hAnsi="Calibri"/>
          <w:i/>
          <w:iCs/>
          <w:color w:val="303030"/>
        </w:rPr>
        <w:t>19</w:t>
      </w:r>
      <w:r>
        <w:rPr>
          <w:rFonts w:ascii="Calibri" w:hAnsi="Calibri"/>
          <w:color w:val="303030"/>
        </w:rPr>
        <w:t xml:space="preserve">, 284‐289. doi:10.1111/j.1467‐ 9280.2008.02081.x </w:t>
      </w:r>
    </w:p>
    <w:p w14:paraId="0B8153E0" w14:textId="77777777" w:rsidR="003844B4" w:rsidRDefault="003844B4" w:rsidP="003844B4">
      <w:pPr>
        <w:pStyle w:val="NormalWeb"/>
      </w:pPr>
      <w:proofErr w:type="spellStart"/>
      <w:r>
        <w:rPr>
          <w:rFonts w:ascii="Calibri" w:hAnsi="Calibri"/>
          <w:color w:val="303030"/>
        </w:rPr>
        <w:t>Lukaszewski</w:t>
      </w:r>
      <w:proofErr w:type="spellEnd"/>
      <w:r>
        <w:rPr>
          <w:rFonts w:ascii="Calibri" w:hAnsi="Calibri"/>
          <w:color w:val="303030"/>
        </w:rPr>
        <w:t xml:space="preserve">, A. W., &amp; </w:t>
      </w:r>
      <w:proofErr w:type="spellStart"/>
      <w:r>
        <w:rPr>
          <w:rFonts w:ascii="Calibri" w:hAnsi="Calibri"/>
          <w:color w:val="303030"/>
        </w:rPr>
        <w:t>Roney</w:t>
      </w:r>
      <w:proofErr w:type="spellEnd"/>
      <w:r>
        <w:rPr>
          <w:rFonts w:ascii="Calibri" w:hAnsi="Calibri"/>
          <w:color w:val="303030"/>
        </w:rPr>
        <w:t xml:space="preserve">, J. R. (2010). Kind toward whom? Mate preferences for personality traits are target specific. </w:t>
      </w:r>
      <w:r>
        <w:rPr>
          <w:rFonts w:ascii="Calibri" w:hAnsi="Calibri"/>
          <w:i/>
          <w:iCs/>
          <w:color w:val="303030"/>
        </w:rPr>
        <w:t xml:space="preserve">Evolution </w:t>
      </w:r>
      <w:proofErr w:type="gramStart"/>
      <w:r>
        <w:rPr>
          <w:rFonts w:ascii="Calibri" w:hAnsi="Calibri"/>
          <w:i/>
          <w:iCs/>
          <w:color w:val="303030"/>
        </w:rPr>
        <w:t>And</w:t>
      </w:r>
      <w:proofErr w:type="gramEnd"/>
      <w:r>
        <w:rPr>
          <w:rFonts w:ascii="Calibri" w:hAnsi="Calibri"/>
          <w:i/>
          <w:iCs/>
          <w:color w:val="303030"/>
        </w:rPr>
        <w:t xml:space="preserve"> Human Behavior</w:t>
      </w:r>
      <w:r>
        <w:rPr>
          <w:rFonts w:ascii="Calibri" w:hAnsi="Calibri"/>
          <w:color w:val="303030"/>
        </w:rPr>
        <w:t xml:space="preserve">, </w:t>
      </w:r>
      <w:r>
        <w:rPr>
          <w:rFonts w:ascii="Calibri" w:hAnsi="Calibri"/>
          <w:i/>
          <w:iCs/>
          <w:color w:val="303030"/>
        </w:rPr>
        <w:t>31</w:t>
      </w:r>
      <w:r>
        <w:rPr>
          <w:rFonts w:ascii="Calibri" w:hAnsi="Calibri"/>
          <w:color w:val="303030"/>
        </w:rPr>
        <w:t xml:space="preserve">, 29‐38. </w:t>
      </w:r>
      <w:proofErr w:type="gramStart"/>
      <w:r>
        <w:rPr>
          <w:rFonts w:ascii="Calibri" w:hAnsi="Calibri"/>
          <w:color w:val="303030"/>
        </w:rPr>
        <w:t>doi:10.1016/j.evolhumbehav</w:t>
      </w:r>
      <w:proofErr w:type="gramEnd"/>
      <w:r>
        <w:rPr>
          <w:rFonts w:ascii="Calibri" w:hAnsi="Calibri"/>
          <w:color w:val="303030"/>
        </w:rPr>
        <w:t xml:space="preserve">.2009.06.008 </w:t>
      </w:r>
    </w:p>
    <w:p w14:paraId="7B7B6E18" w14:textId="77777777" w:rsidR="003844B4" w:rsidRDefault="003844B4" w:rsidP="003844B4">
      <w:pPr>
        <w:pStyle w:val="NormalWeb"/>
      </w:pPr>
      <w:r>
        <w:rPr>
          <w:rFonts w:ascii="Calibri" w:hAnsi="Calibri"/>
        </w:rPr>
        <w:t xml:space="preserve">McCormick, </w:t>
      </w:r>
      <w:proofErr w:type="gramStart"/>
      <w:r>
        <w:rPr>
          <w:rFonts w:ascii="Calibri" w:hAnsi="Calibri"/>
        </w:rPr>
        <w:t>L. ,</w:t>
      </w:r>
      <w:proofErr w:type="gramEnd"/>
      <w:r>
        <w:rPr>
          <w:rFonts w:ascii="Calibri" w:hAnsi="Calibri"/>
        </w:rPr>
        <w:t xml:space="preserve"> </w:t>
      </w:r>
      <w:proofErr w:type="spellStart"/>
      <w:r>
        <w:rPr>
          <w:rFonts w:ascii="Calibri" w:hAnsi="Calibri"/>
        </w:rPr>
        <w:t>Brumm</w:t>
      </w:r>
      <w:proofErr w:type="spellEnd"/>
      <w:r>
        <w:rPr>
          <w:rFonts w:ascii="Calibri" w:hAnsi="Calibri"/>
        </w:rPr>
        <w:t xml:space="preserve">, M. , Beadle, J. , Paradiso, S. , Yamada, T. , et al. (2012). Mirror neuron function, psychosis, and empathy in schizophrenia. </w:t>
      </w:r>
      <w:r>
        <w:rPr>
          <w:rFonts w:ascii="Calibri" w:hAnsi="Calibri"/>
          <w:i/>
          <w:iCs/>
        </w:rPr>
        <w:t>Psychiatry Research</w:t>
      </w:r>
      <w:r>
        <w:rPr>
          <w:rFonts w:ascii="Calibri" w:hAnsi="Calibri"/>
        </w:rPr>
        <w:t xml:space="preserve">, </w:t>
      </w:r>
      <w:r>
        <w:rPr>
          <w:rFonts w:ascii="Calibri" w:hAnsi="Calibri"/>
          <w:i/>
          <w:iCs/>
        </w:rPr>
        <w:t>201</w:t>
      </w:r>
      <w:r>
        <w:rPr>
          <w:rFonts w:ascii="Calibri" w:hAnsi="Calibri"/>
        </w:rPr>
        <w:t xml:space="preserve">(3), 233. </w:t>
      </w:r>
    </w:p>
    <w:p w14:paraId="493B97FD" w14:textId="77777777" w:rsidR="003844B4" w:rsidRDefault="003844B4" w:rsidP="003844B4">
      <w:pPr>
        <w:pStyle w:val="NormalWeb"/>
      </w:pPr>
      <w:r>
        <w:rPr>
          <w:rFonts w:ascii="Calibri" w:hAnsi="Calibri"/>
        </w:rPr>
        <w:t>Morris, M. W., Carranza, E., &amp; Fox, C. R. (2008). Mistaken identity: Activating conservative political identities induces “conservative” financial decisions. Psychological Science, 19(11), 1154‐1160. doi:10.1111/j.1467‐9280.</w:t>
      </w:r>
      <w:proofErr w:type="gramStart"/>
      <w:r>
        <w:rPr>
          <w:rFonts w:ascii="Calibri" w:hAnsi="Calibri"/>
        </w:rPr>
        <w:t>2008.02217.x</w:t>
      </w:r>
      <w:proofErr w:type="gramEnd"/>
      <w:r>
        <w:rPr>
          <w:rFonts w:ascii="Calibri" w:hAnsi="Calibri"/>
        </w:rPr>
        <w:t xml:space="preserve"> </w:t>
      </w:r>
    </w:p>
    <w:p w14:paraId="0E4295C3" w14:textId="77777777" w:rsidR="003844B4" w:rsidRDefault="003844B4" w:rsidP="003844B4">
      <w:pPr>
        <w:pStyle w:val="NormalWeb"/>
      </w:pPr>
      <w:r>
        <w:rPr>
          <w:rFonts w:ascii="Calibri" w:hAnsi="Calibri"/>
        </w:rPr>
        <w:t xml:space="preserve">Risen, J. L., &amp; </w:t>
      </w:r>
      <w:proofErr w:type="spellStart"/>
      <w:r>
        <w:rPr>
          <w:rFonts w:ascii="Calibri" w:hAnsi="Calibri"/>
        </w:rPr>
        <w:t>Gilovich</w:t>
      </w:r>
      <w:proofErr w:type="spellEnd"/>
      <w:r>
        <w:rPr>
          <w:rFonts w:ascii="Calibri" w:hAnsi="Calibri"/>
        </w:rPr>
        <w:t xml:space="preserve">, T. (2008). Why people are reluctant to tempt fate. Journal </w:t>
      </w:r>
      <w:proofErr w:type="gramStart"/>
      <w:r>
        <w:rPr>
          <w:rFonts w:ascii="Calibri" w:hAnsi="Calibri"/>
        </w:rPr>
        <w:t>Of</w:t>
      </w:r>
      <w:proofErr w:type="gramEnd"/>
      <w:r>
        <w:rPr>
          <w:rFonts w:ascii="Calibri" w:hAnsi="Calibri"/>
        </w:rPr>
        <w:t xml:space="preserve"> Personality And Social Psychology, 95(2), 293‐307. doi:10.1037/0022‐3514.95.2.293 </w:t>
      </w:r>
    </w:p>
    <w:p w14:paraId="2B780CF1" w14:textId="77777777" w:rsidR="003844B4" w:rsidRDefault="003844B4" w:rsidP="003844B4">
      <w:pPr>
        <w:pStyle w:val="NormalWeb"/>
      </w:pPr>
      <w:r>
        <w:rPr>
          <w:rFonts w:ascii="Calibri" w:hAnsi="Calibri"/>
        </w:rPr>
        <w:t xml:space="preserve">Roberto, C. A., </w:t>
      </w:r>
      <w:proofErr w:type="spellStart"/>
      <w:r>
        <w:rPr>
          <w:rFonts w:ascii="Calibri" w:hAnsi="Calibri"/>
        </w:rPr>
        <w:t>Shivaram</w:t>
      </w:r>
      <w:proofErr w:type="spellEnd"/>
      <w:r>
        <w:rPr>
          <w:rFonts w:ascii="Calibri" w:hAnsi="Calibri"/>
        </w:rPr>
        <w:t>, M., Martinez, O., Boles, C., Harris, J. L., &amp; Brownell, K. D. The smart choices front‐of‐package nutrition label. Influence on perceptions and intake of</w:t>
      </w:r>
      <w:r>
        <w:rPr>
          <w:rFonts w:ascii="Calibri" w:hAnsi="Calibri"/>
        </w:rPr>
        <w:br/>
        <w:t xml:space="preserve">cereal. </w:t>
      </w:r>
      <w:r>
        <w:rPr>
          <w:rFonts w:ascii="Calibri" w:hAnsi="Calibri"/>
          <w:i/>
          <w:iCs/>
        </w:rPr>
        <w:t>Appetite, 58</w:t>
      </w:r>
      <w:r>
        <w:rPr>
          <w:rFonts w:ascii="Calibri" w:hAnsi="Calibri"/>
        </w:rPr>
        <w:t xml:space="preserve">, 651‐657. </w:t>
      </w:r>
    </w:p>
    <w:p w14:paraId="37954EBF" w14:textId="77777777" w:rsidR="003844B4" w:rsidRDefault="003844B4" w:rsidP="003844B4">
      <w:pPr>
        <w:pStyle w:val="NormalWeb"/>
      </w:pPr>
      <w:proofErr w:type="spellStart"/>
      <w:r>
        <w:rPr>
          <w:rFonts w:ascii="Calibri" w:hAnsi="Calibri"/>
        </w:rPr>
        <w:t>Skorinko</w:t>
      </w:r>
      <w:proofErr w:type="spellEnd"/>
      <w:r>
        <w:rPr>
          <w:rFonts w:ascii="Calibri" w:hAnsi="Calibri"/>
        </w:rPr>
        <w:t xml:space="preserve">, J. L., </w:t>
      </w:r>
      <w:proofErr w:type="spellStart"/>
      <w:r>
        <w:rPr>
          <w:rFonts w:ascii="Calibri" w:hAnsi="Calibri"/>
        </w:rPr>
        <w:t>Kemmer</w:t>
      </w:r>
      <w:proofErr w:type="spellEnd"/>
      <w:r>
        <w:rPr>
          <w:rFonts w:ascii="Calibri" w:hAnsi="Calibri"/>
        </w:rPr>
        <w:t xml:space="preserve">, S., </w:t>
      </w:r>
      <w:proofErr w:type="spellStart"/>
      <w:r>
        <w:rPr>
          <w:rFonts w:ascii="Calibri" w:hAnsi="Calibri"/>
        </w:rPr>
        <w:t>Hebl</w:t>
      </w:r>
      <w:proofErr w:type="spellEnd"/>
      <w:r>
        <w:rPr>
          <w:rFonts w:ascii="Calibri" w:hAnsi="Calibri"/>
        </w:rPr>
        <w:t xml:space="preserve">, M. R., &amp; Lane, D. M. (2006). A Rose by Any Other Name...: Color‐Naming Influences on Decision Making. Psychology &amp; Marketing, 23(12), 975‐993. doi:10.1002/mar.20142 </w:t>
      </w:r>
    </w:p>
    <w:p w14:paraId="75FABD04" w14:textId="77777777" w:rsidR="003844B4" w:rsidRDefault="003844B4" w:rsidP="003844B4">
      <w:pPr>
        <w:pStyle w:val="NormalWeb"/>
      </w:pPr>
      <w:r>
        <w:rPr>
          <w:rFonts w:ascii="Calibri" w:hAnsi="Calibri"/>
        </w:rPr>
        <w:t xml:space="preserve">Swami, V., </w:t>
      </w:r>
      <w:proofErr w:type="spellStart"/>
      <w:r>
        <w:rPr>
          <w:rFonts w:ascii="Calibri" w:hAnsi="Calibri"/>
        </w:rPr>
        <w:t>Tovee</w:t>
      </w:r>
      <w:proofErr w:type="spellEnd"/>
      <w:r>
        <w:rPr>
          <w:rFonts w:ascii="Calibri" w:hAnsi="Calibri"/>
        </w:rPr>
        <w:t xml:space="preserve">, M. J., &amp; </w:t>
      </w:r>
      <w:proofErr w:type="spellStart"/>
      <w:r>
        <w:rPr>
          <w:rFonts w:ascii="Calibri" w:hAnsi="Calibri"/>
        </w:rPr>
        <w:t>Furnham</w:t>
      </w:r>
      <w:proofErr w:type="spellEnd"/>
      <w:r>
        <w:rPr>
          <w:rFonts w:ascii="Calibri" w:hAnsi="Calibri"/>
        </w:rPr>
        <w:t xml:space="preserve">, A. (2008). Does financial security influence judgments of female physical attractiveness? </w:t>
      </w:r>
      <w:r>
        <w:rPr>
          <w:rFonts w:ascii="Calibri" w:hAnsi="Calibri"/>
          <w:i/>
          <w:iCs/>
        </w:rPr>
        <w:t>Journal of Socio‐Economics, 37</w:t>
      </w:r>
      <w:r>
        <w:rPr>
          <w:rFonts w:ascii="Calibri" w:hAnsi="Calibri"/>
        </w:rPr>
        <w:t xml:space="preserve">, 1363‐1370. </w:t>
      </w:r>
    </w:p>
    <w:p w14:paraId="2F32352B" w14:textId="77777777" w:rsidR="003844B4" w:rsidRDefault="003844B4" w:rsidP="003844B4">
      <w:pPr>
        <w:pStyle w:val="NormalWeb"/>
      </w:pPr>
      <w:proofErr w:type="spellStart"/>
      <w:r>
        <w:rPr>
          <w:rFonts w:ascii="Calibri" w:hAnsi="Calibri"/>
        </w:rPr>
        <w:t>Teachman</w:t>
      </w:r>
      <w:proofErr w:type="spellEnd"/>
      <w:r>
        <w:rPr>
          <w:rFonts w:ascii="Calibri" w:hAnsi="Calibri"/>
        </w:rPr>
        <w:t xml:space="preserve">, B. A., &amp; Brownell, K. D. (2001). Implicit anti‐fat bias among health professionals: Is anyone immune? </w:t>
      </w:r>
      <w:r>
        <w:rPr>
          <w:rFonts w:ascii="Calibri" w:hAnsi="Calibri"/>
          <w:i/>
          <w:iCs/>
        </w:rPr>
        <w:t>International Journal of Obesity, 25</w:t>
      </w:r>
      <w:r>
        <w:rPr>
          <w:rFonts w:ascii="Calibri" w:hAnsi="Calibri"/>
        </w:rPr>
        <w:t xml:space="preserve">, 1525‐1531. </w:t>
      </w:r>
    </w:p>
    <w:p w14:paraId="342E900F" w14:textId="77777777" w:rsidR="003844B4" w:rsidRDefault="003844B4" w:rsidP="003844B4">
      <w:pPr>
        <w:pStyle w:val="NormalWeb"/>
      </w:pPr>
      <w:proofErr w:type="spellStart"/>
      <w:r>
        <w:rPr>
          <w:rFonts w:ascii="Calibri" w:hAnsi="Calibri"/>
        </w:rPr>
        <w:t>Wansink</w:t>
      </w:r>
      <w:proofErr w:type="spellEnd"/>
      <w:r>
        <w:rPr>
          <w:rFonts w:ascii="Calibri" w:hAnsi="Calibri"/>
        </w:rPr>
        <w:t xml:space="preserve">, B., </w:t>
      </w:r>
      <w:proofErr w:type="spellStart"/>
      <w:r>
        <w:rPr>
          <w:rFonts w:ascii="Calibri" w:hAnsi="Calibri"/>
        </w:rPr>
        <w:t>Kniffin</w:t>
      </w:r>
      <w:proofErr w:type="spellEnd"/>
      <w:r>
        <w:rPr>
          <w:rFonts w:ascii="Calibri" w:hAnsi="Calibri"/>
        </w:rPr>
        <w:t xml:space="preserve">, K. M., &amp; Shimizu, M. (2012). Death row nutrition. Curious conclusions of last meals. </w:t>
      </w:r>
      <w:r>
        <w:rPr>
          <w:rFonts w:ascii="Calibri" w:hAnsi="Calibri"/>
          <w:i/>
          <w:iCs/>
        </w:rPr>
        <w:t>Appetite, 59</w:t>
      </w:r>
      <w:r>
        <w:rPr>
          <w:rFonts w:ascii="Calibri" w:hAnsi="Calibri"/>
        </w:rPr>
        <w:t xml:space="preserve">, 837‐843. </w:t>
      </w:r>
    </w:p>
    <w:p w14:paraId="79595654" w14:textId="77777777" w:rsidR="003844B4" w:rsidRDefault="003844B4" w:rsidP="003844B4">
      <w:pPr>
        <w:pStyle w:val="NormalWeb"/>
      </w:pPr>
      <w:r>
        <w:rPr>
          <w:rFonts w:ascii="Calibri" w:hAnsi="Calibri"/>
        </w:rPr>
        <w:t xml:space="preserve">Zhu, B., Chen, C., Loftus, E. F., He, Q., Chen, C., Lei, X., Lin, C., &amp; Dong, Q. (2012). Brief exposure to misinformation can lead to long‐term false memories. </w:t>
      </w:r>
      <w:r>
        <w:rPr>
          <w:rFonts w:ascii="Calibri" w:hAnsi="Calibri"/>
          <w:i/>
          <w:iCs/>
        </w:rPr>
        <w:t>Applied Cognitive Psychology, 26</w:t>
      </w:r>
      <w:r>
        <w:rPr>
          <w:rFonts w:ascii="Calibri" w:hAnsi="Calibri"/>
        </w:rPr>
        <w:t xml:space="preserve">, 301‐307. </w:t>
      </w:r>
    </w:p>
    <w:p w14:paraId="7351CE45" w14:textId="77777777" w:rsidR="00F86AC8" w:rsidRDefault="00F86AC8"/>
    <w:sectPr w:rsidR="00F86AC8" w:rsidSect="00F41A55">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416119"/>
    <w:multiLevelType w:val="multilevel"/>
    <w:tmpl w:val="72FA5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4B4"/>
    <w:rsid w:val="003844B4"/>
    <w:rsid w:val="005F377B"/>
    <w:rsid w:val="00AD2078"/>
    <w:rsid w:val="00C7792B"/>
    <w:rsid w:val="00D97602"/>
    <w:rsid w:val="00F41A55"/>
    <w:rsid w:val="00F86AC8"/>
  </w:rsids>
  <m:mathPr>
    <m:mathFont m:val="Cambria Math"/>
    <m:brkBin m:val="before"/>
    <m:brkBinSub m:val="--"/>
    <m:smallFrac m:val="0"/>
    <m:dispDef/>
    <m:lMargin m:val="0"/>
    <m:rMargin m:val="0"/>
    <m:defJc m:val="centerGroup"/>
    <m:wrapIndent m:val="1440"/>
    <m:intLim m:val="subSup"/>
    <m:naryLim m:val="undOvr"/>
  </m:mathPr>
  <w:themeFontLang w:val="en-US" w:eastAsia="x-none" w:bidi="ar-SA"/>
  <w:clrSchemeMapping w:bg1="light1" w:t1="dark1" w:bg2="light2" w:t2="dark2" w:accent1="accent1" w:accent2="accent2" w:accent3="accent3" w:accent4="accent4" w:accent5="accent5" w:accent6="accent6" w:hyperlink="hyperlink" w:followedHyperlink="followedHyperlink"/>
  <w:decimalSymbol w:val="."/>
  <w:listSeparator w:val=","/>
  <w14:docId w14:val="2B05638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844B4"/>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5F377B"/>
    <w:rPr>
      <w:color w:val="0563C1" w:themeColor="hyperlink"/>
      <w:u w:val="single"/>
    </w:rPr>
  </w:style>
  <w:style w:type="character" w:styleId="FollowedHyperlink">
    <w:name w:val="FollowedHyperlink"/>
    <w:basedOn w:val="DefaultParagraphFont"/>
    <w:uiPriority w:val="99"/>
    <w:semiHidden/>
    <w:unhideWhenUsed/>
    <w:rsid w:val="005F37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613332">
      <w:bodyDiv w:val="1"/>
      <w:marLeft w:val="0"/>
      <w:marRight w:val="0"/>
      <w:marTop w:val="0"/>
      <w:marBottom w:val="0"/>
      <w:divBdr>
        <w:top w:val="none" w:sz="0" w:space="0" w:color="auto"/>
        <w:left w:val="none" w:sz="0" w:space="0" w:color="auto"/>
        <w:bottom w:val="none" w:sz="0" w:space="0" w:color="auto"/>
        <w:right w:val="none" w:sz="0" w:space="0" w:color="auto"/>
      </w:divBdr>
      <w:divsChild>
        <w:div w:id="2018992518">
          <w:marLeft w:val="0"/>
          <w:marRight w:val="0"/>
          <w:marTop w:val="0"/>
          <w:marBottom w:val="0"/>
          <w:divBdr>
            <w:top w:val="none" w:sz="0" w:space="0" w:color="auto"/>
            <w:left w:val="none" w:sz="0" w:space="0" w:color="auto"/>
            <w:bottom w:val="none" w:sz="0" w:space="0" w:color="auto"/>
            <w:right w:val="none" w:sz="0" w:space="0" w:color="auto"/>
          </w:divBdr>
          <w:divsChild>
            <w:div w:id="1217471429">
              <w:marLeft w:val="0"/>
              <w:marRight w:val="0"/>
              <w:marTop w:val="0"/>
              <w:marBottom w:val="0"/>
              <w:divBdr>
                <w:top w:val="none" w:sz="0" w:space="0" w:color="auto"/>
                <w:left w:val="none" w:sz="0" w:space="0" w:color="auto"/>
                <w:bottom w:val="none" w:sz="0" w:space="0" w:color="auto"/>
                <w:right w:val="none" w:sz="0" w:space="0" w:color="auto"/>
              </w:divBdr>
              <w:divsChild>
                <w:div w:id="1821537980">
                  <w:marLeft w:val="0"/>
                  <w:marRight w:val="0"/>
                  <w:marTop w:val="0"/>
                  <w:marBottom w:val="0"/>
                  <w:divBdr>
                    <w:top w:val="none" w:sz="0" w:space="0" w:color="auto"/>
                    <w:left w:val="none" w:sz="0" w:space="0" w:color="auto"/>
                    <w:bottom w:val="none" w:sz="0" w:space="0" w:color="auto"/>
                    <w:right w:val="none" w:sz="0" w:space="0" w:color="auto"/>
                  </w:divBdr>
                </w:div>
              </w:divsChild>
            </w:div>
            <w:div w:id="557519746">
              <w:marLeft w:val="0"/>
              <w:marRight w:val="0"/>
              <w:marTop w:val="0"/>
              <w:marBottom w:val="0"/>
              <w:divBdr>
                <w:top w:val="none" w:sz="0" w:space="0" w:color="auto"/>
                <w:left w:val="none" w:sz="0" w:space="0" w:color="auto"/>
                <w:bottom w:val="none" w:sz="0" w:space="0" w:color="auto"/>
                <w:right w:val="none" w:sz="0" w:space="0" w:color="auto"/>
              </w:divBdr>
              <w:divsChild>
                <w:div w:id="1198271792">
                  <w:marLeft w:val="0"/>
                  <w:marRight w:val="0"/>
                  <w:marTop w:val="0"/>
                  <w:marBottom w:val="0"/>
                  <w:divBdr>
                    <w:top w:val="none" w:sz="0" w:space="0" w:color="auto"/>
                    <w:left w:val="none" w:sz="0" w:space="0" w:color="auto"/>
                    <w:bottom w:val="none" w:sz="0" w:space="0" w:color="auto"/>
                    <w:right w:val="none" w:sz="0" w:space="0" w:color="auto"/>
                  </w:divBdr>
                </w:div>
              </w:divsChild>
            </w:div>
            <w:div w:id="509299942">
              <w:marLeft w:val="0"/>
              <w:marRight w:val="0"/>
              <w:marTop w:val="0"/>
              <w:marBottom w:val="0"/>
              <w:divBdr>
                <w:top w:val="none" w:sz="0" w:space="0" w:color="auto"/>
                <w:left w:val="none" w:sz="0" w:space="0" w:color="auto"/>
                <w:bottom w:val="none" w:sz="0" w:space="0" w:color="auto"/>
                <w:right w:val="none" w:sz="0" w:space="0" w:color="auto"/>
              </w:divBdr>
              <w:divsChild>
                <w:div w:id="1760640125">
                  <w:marLeft w:val="0"/>
                  <w:marRight w:val="0"/>
                  <w:marTop w:val="0"/>
                  <w:marBottom w:val="0"/>
                  <w:divBdr>
                    <w:top w:val="none" w:sz="0" w:space="0" w:color="auto"/>
                    <w:left w:val="none" w:sz="0" w:space="0" w:color="auto"/>
                    <w:bottom w:val="none" w:sz="0" w:space="0" w:color="auto"/>
                    <w:right w:val="none" w:sz="0" w:space="0" w:color="auto"/>
                  </w:divBdr>
                </w:div>
              </w:divsChild>
            </w:div>
            <w:div w:id="1879968792">
              <w:marLeft w:val="0"/>
              <w:marRight w:val="0"/>
              <w:marTop w:val="0"/>
              <w:marBottom w:val="0"/>
              <w:divBdr>
                <w:top w:val="none" w:sz="0" w:space="0" w:color="auto"/>
                <w:left w:val="none" w:sz="0" w:space="0" w:color="auto"/>
                <w:bottom w:val="none" w:sz="0" w:space="0" w:color="auto"/>
                <w:right w:val="none" w:sz="0" w:space="0" w:color="auto"/>
              </w:divBdr>
              <w:divsChild>
                <w:div w:id="73285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32317">
          <w:marLeft w:val="0"/>
          <w:marRight w:val="0"/>
          <w:marTop w:val="0"/>
          <w:marBottom w:val="0"/>
          <w:divBdr>
            <w:top w:val="none" w:sz="0" w:space="0" w:color="auto"/>
            <w:left w:val="none" w:sz="0" w:space="0" w:color="auto"/>
            <w:bottom w:val="none" w:sz="0" w:space="0" w:color="auto"/>
            <w:right w:val="none" w:sz="0" w:space="0" w:color="auto"/>
          </w:divBdr>
          <w:divsChild>
            <w:div w:id="273483399">
              <w:marLeft w:val="0"/>
              <w:marRight w:val="0"/>
              <w:marTop w:val="0"/>
              <w:marBottom w:val="0"/>
              <w:divBdr>
                <w:top w:val="none" w:sz="0" w:space="0" w:color="auto"/>
                <w:left w:val="none" w:sz="0" w:space="0" w:color="auto"/>
                <w:bottom w:val="none" w:sz="0" w:space="0" w:color="auto"/>
                <w:right w:val="none" w:sz="0" w:space="0" w:color="auto"/>
              </w:divBdr>
              <w:divsChild>
                <w:div w:id="212920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006760">
          <w:marLeft w:val="0"/>
          <w:marRight w:val="0"/>
          <w:marTop w:val="0"/>
          <w:marBottom w:val="0"/>
          <w:divBdr>
            <w:top w:val="none" w:sz="0" w:space="0" w:color="auto"/>
            <w:left w:val="none" w:sz="0" w:space="0" w:color="auto"/>
            <w:bottom w:val="none" w:sz="0" w:space="0" w:color="auto"/>
            <w:right w:val="none" w:sz="0" w:space="0" w:color="auto"/>
          </w:divBdr>
          <w:divsChild>
            <w:div w:id="1072044154">
              <w:marLeft w:val="0"/>
              <w:marRight w:val="0"/>
              <w:marTop w:val="0"/>
              <w:marBottom w:val="0"/>
              <w:divBdr>
                <w:top w:val="none" w:sz="0" w:space="0" w:color="auto"/>
                <w:left w:val="none" w:sz="0" w:space="0" w:color="auto"/>
                <w:bottom w:val="none" w:sz="0" w:space="0" w:color="auto"/>
                <w:right w:val="none" w:sz="0" w:space="0" w:color="auto"/>
              </w:divBdr>
              <w:divsChild>
                <w:div w:id="20763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library.csun.edu/"/>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822</Words>
  <Characters>4687</Characters>
  <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5499</CharactersWithSpaces>
  <SharedDoc>false</SharedDoc>
  <HyperlinksChanged>false</HyperlinksChanged>
  <AppVersion>15.0000</AppVersion>
  <Company/>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