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C676" w14:textId="77777777" w:rsidR="008E6B20" w:rsidRDefault="008E6B20" w:rsidP="008E6B20">
      <w:pPr>
        <w:jc w:val="center"/>
      </w:pPr>
      <w:bookmarkStart w:id="0" w:name="_GoBack"/>
      <w:bookmarkEnd w:id="0"/>
      <w:r>
        <w:t>Answer All Questions</w:t>
      </w:r>
    </w:p>
    <w:p w14:paraId="0B5B7849" w14:textId="77777777" w:rsidR="003B1014" w:rsidRDefault="005831C3">
      <w:r>
        <w:t xml:space="preserve"> </w:t>
      </w:r>
    </w:p>
    <w:p w14:paraId="4F222CB6" w14:textId="77777777" w:rsidR="003B1014" w:rsidRDefault="003B1014" w:rsidP="00781297">
      <w:pPr>
        <w:ind w:left="288" w:hanging="288"/>
        <w:jc w:val="both"/>
      </w:pPr>
      <w:r w:rsidRPr="00E70F0B">
        <w:rPr>
          <w:b/>
        </w:rPr>
        <w:t>1.</w:t>
      </w:r>
      <w:r w:rsidRPr="00E70F0B">
        <w:rPr>
          <w:b/>
        </w:rPr>
        <w:tab/>
        <w:t>(a)</w:t>
      </w:r>
      <w:r>
        <w:t xml:space="preserve"> </w:t>
      </w:r>
      <w:r w:rsidR="003F114C">
        <w:t xml:space="preserve">Show that the reciprocal lattice of a Simple Cubic </w:t>
      </w:r>
      <w:proofErr w:type="spellStart"/>
      <w:r w:rsidR="003F114C">
        <w:t>Bravais</w:t>
      </w:r>
      <w:proofErr w:type="spellEnd"/>
      <w:r w:rsidR="003F114C">
        <w:t xml:space="preserve"> lattice, with cubic primitive cell of side </w:t>
      </w:r>
      <w:r w:rsidR="003F114C" w:rsidRPr="005831C3">
        <w:rPr>
          <w:i/>
        </w:rPr>
        <w:t>a</w:t>
      </w:r>
      <w:r w:rsidR="003F114C">
        <w:t xml:space="preserve">, is a simple cubic lattice with cubic primitive cell of side </w:t>
      </w:r>
      <w:r w:rsidR="003F114C" w:rsidRPr="005831C3">
        <w:rPr>
          <w:i/>
        </w:rPr>
        <w:t>2</w:t>
      </w:r>
      <w:r w:rsidR="003F114C" w:rsidRPr="005831C3">
        <w:rPr>
          <w:i/>
        </w:rPr>
        <w:sym w:font="Symbol" w:char="F070"/>
      </w:r>
      <w:r w:rsidR="003F114C" w:rsidRPr="005831C3">
        <w:rPr>
          <w:i/>
        </w:rPr>
        <w:t>/a</w:t>
      </w:r>
      <w:r w:rsidR="003F114C">
        <w:t xml:space="preserve">. </w:t>
      </w:r>
    </w:p>
    <w:p w14:paraId="6D1A11B0" w14:textId="77777777" w:rsidR="003B1014" w:rsidRDefault="003B1014" w:rsidP="003B1014">
      <w:pPr>
        <w:jc w:val="both"/>
      </w:pPr>
    </w:p>
    <w:p w14:paraId="1C258965" w14:textId="77777777" w:rsidR="00781297" w:rsidRDefault="003B1014" w:rsidP="003B1014">
      <w:pPr>
        <w:ind w:left="288" w:hanging="288"/>
        <w:jc w:val="both"/>
      </w:pPr>
      <w:r w:rsidRPr="00E70F0B">
        <w:rPr>
          <w:b/>
        </w:rPr>
        <w:tab/>
        <w:t>(b)</w:t>
      </w:r>
      <w:r>
        <w:t xml:space="preserve">  </w:t>
      </w:r>
      <w:r w:rsidR="003F114C">
        <w:t xml:space="preserve">Show that the reciprocal of a Simple Hexagonal </w:t>
      </w:r>
      <w:proofErr w:type="spellStart"/>
      <w:r w:rsidR="003F114C">
        <w:t>Bravais</w:t>
      </w:r>
      <w:proofErr w:type="spellEnd"/>
      <w:r w:rsidR="003F114C">
        <w:t xml:space="preserve"> lattice with lattice constants </w:t>
      </w:r>
      <w:r w:rsidR="003F114C" w:rsidRPr="005831C3">
        <w:rPr>
          <w:i/>
        </w:rPr>
        <w:t>c</w:t>
      </w:r>
      <w:r w:rsidR="003F114C">
        <w:t xml:space="preserve"> and </w:t>
      </w:r>
      <w:r w:rsidR="003F114C" w:rsidRPr="005831C3">
        <w:rPr>
          <w:i/>
        </w:rPr>
        <w:t>a</w:t>
      </w:r>
      <w:r w:rsidR="00F8681F">
        <w:t xml:space="preserve"> is another S</w:t>
      </w:r>
      <w:r w:rsidR="003F114C">
        <w:t xml:space="preserve">imple </w:t>
      </w:r>
      <w:r w:rsidR="00F8681F">
        <w:t>He</w:t>
      </w:r>
      <w:r w:rsidR="003F114C">
        <w:t xml:space="preserve">xagonal </w:t>
      </w:r>
      <w:r w:rsidR="00F8681F">
        <w:t>lattice with lattice constants</w:t>
      </w:r>
      <w:r w:rsidR="00FF7D2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  <w:r w:rsidR="00781297">
        <w:t xml:space="preserve"> </w:t>
      </w:r>
      <w:r w:rsidR="00BE7F5D">
        <w:t xml:space="preserve"> </w:t>
      </w:r>
      <w:r w:rsidR="00FF7D26">
        <w:t>and</w:t>
      </w:r>
      <w:r w:rsidR="00BE7F5D">
        <w:t xml:space="preserve"> </w:t>
      </w:r>
      <w:r w:rsidR="00FF7D26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781297">
        <w:t xml:space="preserve">, where </w:t>
      </w:r>
      <w:r w:rsidR="00781297" w:rsidRPr="005831C3">
        <w:rPr>
          <w:b/>
          <w:i/>
        </w:rPr>
        <w:t>a*</w:t>
      </w:r>
      <w:r w:rsidR="00781297">
        <w:t xml:space="preserve"> is rotated by 30˚ with respect to </w:t>
      </w:r>
      <w:r w:rsidR="00781297" w:rsidRPr="005831C3">
        <w:rPr>
          <w:b/>
          <w:i/>
        </w:rPr>
        <w:t>a</w:t>
      </w:r>
      <w:r w:rsidR="00781297">
        <w:t xml:space="preserve">, </w:t>
      </w:r>
      <w:r w:rsidR="00781297" w:rsidRPr="005831C3">
        <w:rPr>
          <w:b/>
          <w:i/>
        </w:rPr>
        <w:t>b*</w:t>
      </w:r>
      <w:r w:rsidR="00781297">
        <w:t xml:space="preserve"> is perpendicular to </w:t>
      </w:r>
      <w:r w:rsidR="00781297" w:rsidRPr="005831C3">
        <w:rPr>
          <w:b/>
          <w:i/>
        </w:rPr>
        <w:t>a</w:t>
      </w:r>
      <w:r w:rsidR="00781297">
        <w:t xml:space="preserve"> and the angle between </w:t>
      </w:r>
      <w:r w:rsidR="00781297" w:rsidRPr="005831C3">
        <w:rPr>
          <w:b/>
          <w:i/>
        </w:rPr>
        <w:t>a*</w:t>
      </w:r>
      <w:r w:rsidR="00781297">
        <w:t xml:space="preserve"> and </w:t>
      </w:r>
      <w:r w:rsidR="00781297" w:rsidRPr="005831C3">
        <w:rPr>
          <w:b/>
          <w:i/>
        </w:rPr>
        <w:t>b*</w:t>
      </w:r>
      <w:r w:rsidR="00781297">
        <w:t xml:space="preserve"> is 60˚. </w:t>
      </w:r>
    </w:p>
    <w:p w14:paraId="6714B64A" w14:textId="77777777" w:rsidR="003B1014" w:rsidRDefault="003B1014" w:rsidP="003B1014">
      <w:pPr>
        <w:jc w:val="both"/>
      </w:pPr>
    </w:p>
    <w:p w14:paraId="20A2237B" w14:textId="77777777" w:rsidR="0011012D" w:rsidRDefault="003B1014" w:rsidP="0011012D">
      <w:pPr>
        <w:ind w:left="288" w:hanging="288"/>
        <w:jc w:val="both"/>
      </w:pPr>
      <w:r w:rsidRPr="00E70F0B">
        <w:rPr>
          <w:b/>
        </w:rPr>
        <w:tab/>
        <w:t>(c)</w:t>
      </w:r>
      <w:r>
        <w:t xml:space="preserve"> </w:t>
      </w:r>
      <w:r w:rsidR="00781297">
        <w:t xml:space="preserve">Depict </w:t>
      </w:r>
      <w:r w:rsidR="00781297" w:rsidRPr="00781297">
        <w:rPr>
          <w:b/>
        </w:rPr>
        <w:t>a</w:t>
      </w:r>
      <w:r w:rsidR="00781297">
        <w:t xml:space="preserve">, </w:t>
      </w:r>
      <w:r w:rsidR="00781297" w:rsidRPr="00781297">
        <w:rPr>
          <w:b/>
        </w:rPr>
        <w:t>b</w:t>
      </w:r>
      <w:r w:rsidR="00781297">
        <w:t xml:space="preserve">, </w:t>
      </w:r>
      <w:r w:rsidR="00781297" w:rsidRPr="00781297">
        <w:rPr>
          <w:b/>
        </w:rPr>
        <w:t>a</w:t>
      </w:r>
      <w:r w:rsidR="00781297">
        <w:t xml:space="preserve">*, and </w:t>
      </w:r>
      <w:r w:rsidR="00781297" w:rsidRPr="00781297">
        <w:rPr>
          <w:b/>
        </w:rPr>
        <w:t>b</w:t>
      </w:r>
      <w:r w:rsidR="00781297">
        <w:t xml:space="preserve">* on an (0001) stereographic projection. </w:t>
      </w:r>
      <w:r w:rsidR="00A247D8">
        <w:t>Using 4-index notation, w</w:t>
      </w:r>
      <w:r w:rsidR="00781297">
        <w:t xml:space="preserve">rite down </w:t>
      </w:r>
      <w:r w:rsidR="00A247D8">
        <w:t xml:space="preserve">expressions for </w:t>
      </w:r>
      <w:r w:rsidR="0072329C">
        <w:t xml:space="preserve">these </w:t>
      </w:r>
      <w:r w:rsidR="000852E9">
        <w:t>real and reciprocal lattice vectors</w:t>
      </w:r>
      <w:r w:rsidR="00A247D8">
        <w:t xml:space="preserve">.  </w:t>
      </w:r>
    </w:p>
    <w:p w14:paraId="0737DD0F" w14:textId="77777777" w:rsidR="0011012D" w:rsidRDefault="0011012D" w:rsidP="0011012D">
      <w:pPr>
        <w:ind w:left="288" w:hanging="288"/>
        <w:jc w:val="both"/>
        <w:rPr>
          <w:b/>
        </w:rPr>
      </w:pPr>
      <w:r>
        <w:rPr>
          <w:b/>
        </w:rPr>
        <w:tab/>
      </w:r>
    </w:p>
    <w:p w14:paraId="052844D8" w14:textId="77777777" w:rsidR="0072329C" w:rsidRDefault="0011012D" w:rsidP="0072329C">
      <w:pPr>
        <w:spacing w:after="240"/>
        <w:ind w:left="288"/>
        <w:jc w:val="both"/>
        <w:rPr>
          <w:b/>
        </w:rPr>
      </w:pPr>
      <w:r w:rsidRPr="00020436">
        <w:rPr>
          <w:b/>
        </w:rPr>
        <w:t>(d)</w:t>
      </w:r>
      <w:r>
        <w:t xml:space="preserve"> The volume of the unit cell in reciprocal space can be defined as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 xml:space="preserve">×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. Prove that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t xml:space="preserve"> .</w:t>
      </w:r>
      <w:r w:rsidR="0072329C" w:rsidRPr="0072329C">
        <w:rPr>
          <w:b/>
        </w:rPr>
        <w:t xml:space="preserve"> </w:t>
      </w:r>
    </w:p>
    <w:p w14:paraId="74E5D560" w14:textId="77777777" w:rsidR="0072329C" w:rsidRDefault="0072329C" w:rsidP="0072329C">
      <w:pPr>
        <w:spacing w:after="240"/>
        <w:ind w:left="288"/>
        <w:jc w:val="both"/>
      </w:pPr>
      <w:r w:rsidRPr="00E16B8F">
        <w:rPr>
          <w:b/>
        </w:rPr>
        <w:t>(</w:t>
      </w:r>
      <w:r>
        <w:rPr>
          <w:b/>
        </w:rPr>
        <w:t>e</w:t>
      </w:r>
      <w:r w:rsidRPr="00E16B8F">
        <w:rPr>
          <w:b/>
        </w:rPr>
        <w:t>)</w:t>
      </w:r>
      <w:r>
        <w:t xml:space="preserve"> Given that the primitive unit cell of the </w:t>
      </w:r>
      <w:proofErr w:type="spellStart"/>
      <w:r>
        <w:t>f.c.c</w:t>
      </w:r>
      <w:proofErr w:type="spellEnd"/>
      <w:r>
        <w:t>. lattice can be constructed by connecting the origin to the three adjacent face centers, show that this primitive cell is rhombohedral with the rhombohedral angle being equal to 60º (Note: a primitive unit cell contains only 1 lattice point).</w:t>
      </w:r>
    </w:p>
    <w:p w14:paraId="3037CBF2" w14:textId="77777777" w:rsidR="0072329C" w:rsidRDefault="0072329C" w:rsidP="0072329C">
      <w:pPr>
        <w:spacing w:after="240"/>
        <w:ind w:left="288"/>
        <w:jc w:val="both"/>
      </w:pPr>
      <w:r>
        <w:rPr>
          <w:b/>
        </w:rPr>
        <w:t>(f</w:t>
      </w:r>
      <w:r w:rsidRPr="00E16B8F">
        <w:rPr>
          <w:b/>
        </w:rPr>
        <w:t>)</w:t>
      </w:r>
      <w:r>
        <w:t xml:space="preserve"> Using this primitive unit cell, show that the reciprocal lattice of the </w:t>
      </w:r>
      <w:proofErr w:type="spellStart"/>
      <w:r>
        <w:t>f.c.c</w:t>
      </w:r>
      <w:proofErr w:type="spellEnd"/>
      <w:r>
        <w:t xml:space="preserve">. lattice is </w:t>
      </w:r>
      <w:proofErr w:type="spellStart"/>
      <w:r>
        <w:t>b.c.c</w:t>
      </w:r>
      <w:proofErr w:type="spellEnd"/>
      <w:r>
        <w:t>.</w:t>
      </w:r>
    </w:p>
    <w:p w14:paraId="6797D75B" w14:textId="77777777" w:rsidR="0072329C" w:rsidRDefault="0072329C" w:rsidP="0072329C">
      <w:pPr>
        <w:spacing w:after="240"/>
        <w:ind w:left="288"/>
        <w:jc w:val="both"/>
      </w:pPr>
      <w:r>
        <w:rPr>
          <w:b/>
        </w:rPr>
        <w:t>(g</w:t>
      </w:r>
      <w:r w:rsidRPr="00617305">
        <w:rPr>
          <w:b/>
        </w:rPr>
        <w:t>)</w:t>
      </w:r>
      <w:r>
        <w:t xml:space="preserve"> Using similar methodology, show that the reciprocal lattice of the </w:t>
      </w:r>
      <w:proofErr w:type="spellStart"/>
      <w:r>
        <w:t>b.c.c</w:t>
      </w:r>
      <w:proofErr w:type="spellEnd"/>
      <w:r>
        <w:t xml:space="preserve">. lattice is </w:t>
      </w:r>
      <w:proofErr w:type="spellStart"/>
      <w:r>
        <w:t>f.c.c</w:t>
      </w:r>
      <w:proofErr w:type="spellEnd"/>
      <w:r>
        <w:t>.</w:t>
      </w:r>
    </w:p>
    <w:p w14:paraId="472DB319" w14:textId="77777777" w:rsidR="003A372D" w:rsidRDefault="005F3850" w:rsidP="003A372D">
      <w:pPr>
        <w:ind w:left="288" w:hanging="288"/>
        <w:jc w:val="both"/>
      </w:pPr>
      <w:r>
        <w:rPr>
          <w:b/>
        </w:rPr>
        <w:t>2</w:t>
      </w:r>
      <w:r w:rsidR="003209C4">
        <w:rPr>
          <w:b/>
        </w:rPr>
        <w:t xml:space="preserve">. </w:t>
      </w:r>
      <w:r w:rsidR="003A372D" w:rsidRPr="00020436">
        <w:rPr>
          <w:b/>
        </w:rPr>
        <w:tab/>
        <w:t>(</w:t>
      </w:r>
      <w:r w:rsidR="00334030" w:rsidRPr="00020436">
        <w:rPr>
          <w:b/>
        </w:rPr>
        <w:t>a</w:t>
      </w:r>
      <w:r w:rsidR="003A372D" w:rsidRPr="00020436">
        <w:rPr>
          <w:b/>
        </w:rPr>
        <w:t>)</w:t>
      </w:r>
      <w:r w:rsidR="003A372D">
        <w:t xml:space="preserve"> </w:t>
      </w:r>
      <w:r w:rsidR="00FD06FD">
        <w:t xml:space="preserve">Show by means of a </w:t>
      </w:r>
      <m:oMath>
        <m:r>
          <w:rPr>
            <w:rFonts w:ascii="Cambria Math" w:hAnsi="Cambria Math"/>
          </w:rPr>
          <m:t>(1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</m:t>
            </m:r>
          </m:e>
        </m:acc>
        <m:r>
          <w:rPr>
            <w:rFonts w:ascii="Cambria Math" w:hAnsi="Cambria Math"/>
          </w:rPr>
          <m:t>0)</m:t>
        </m:r>
      </m:oMath>
      <w:r w:rsidR="00FD06FD">
        <w:t xml:space="preserve"> sectional drawing that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111</m:t>
            </m:r>
          </m:e>
        </m:d>
      </m:oMath>
      <w:r w:rsidR="00FD06FD">
        <w:t xml:space="preserve"> is perpendicular to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111</m:t>
            </m:r>
          </m:e>
        </m:d>
      </m:oMath>
      <w:r w:rsidR="00FD06FD">
        <w:t xml:space="preserve"> in the cubic system, but not, in general, in the tetragonal system.</w:t>
      </w:r>
    </w:p>
    <w:p w14:paraId="3F3C9548" w14:textId="77777777" w:rsidR="00FD06FD" w:rsidRDefault="00FD06FD" w:rsidP="003A372D">
      <w:pPr>
        <w:ind w:left="288" w:hanging="288"/>
        <w:jc w:val="both"/>
      </w:pPr>
    </w:p>
    <w:p w14:paraId="1237C4C6" w14:textId="77777777" w:rsidR="00FD06FD" w:rsidRDefault="00FD06FD" w:rsidP="003A372D">
      <w:pPr>
        <w:ind w:left="288" w:hanging="288"/>
        <w:jc w:val="both"/>
      </w:pPr>
      <w:r w:rsidRPr="00020436">
        <w:rPr>
          <w:b/>
        </w:rPr>
        <w:tab/>
      </w:r>
      <w:r w:rsidR="00334030" w:rsidRPr="00020436">
        <w:rPr>
          <w:b/>
        </w:rPr>
        <w:t>(b)</w:t>
      </w:r>
      <w:r w:rsidR="00334030">
        <w:t xml:space="preserve"> </w:t>
      </w:r>
      <w:r>
        <w:t xml:space="preserve">In a drawing of a hexagonal prism, indicate the following planes and directions: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2</m:t>
                </m:r>
              </m:e>
            </m:acc>
            <m:r>
              <w:rPr>
                <w:rFonts w:ascii="Cambria Math" w:hAnsi="Cambria Math"/>
              </w:rPr>
              <m:t>10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1</m:t>
                </m:r>
              </m:e>
            </m:acc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1</m:t>
                </m:r>
              </m:e>
            </m:acc>
            <m:r>
              <w:rPr>
                <w:rFonts w:ascii="Cambria Math" w:hAnsi="Cambria Math"/>
              </w:rPr>
              <m:t>011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11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1</m:t>
                </m:r>
              </m:e>
            </m:acc>
          </m:e>
        </m:d>
        <m:r>
          <w:rPr>
            <w:rFonts w:ascii="Cambria Math" w:hAnsi="Cambria Math"/>
          </w:rPr>
          <m:t xml:space="preserve">,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021</m:t>
            </m:r>
          </m:e>
        </m:d>
        <m:r>
          <w:rPr>
            <w:rFonts w:ascii="Cambria Math" w:hAnsi="Cambria Math"/>
          </w:rPr>
          <m:t xml:space="preserve">. </m:t>
        </m:r>
        <m:r>
          <m:rPr>
            <m:nor/>
          </m:rPr>
          <w:rPr>
            <w:rFonts w:ascii="Cambria Math" w:hAnsi="Cambria Math"/>
          </w:rPr>
          <m:t>Show cell axes.</m:t>
        </m:r>
      </m:oMath>
    </w:p>
    <w:p w14:paraId="00849CB3" w14:textId="77777777" w:rsidR="00444312" w:rsidRDefault="00444312" w:rsidP="003A372D">
      <w:pPr>
        <w:ind w:left="288" w:hanging="288"/>
        <w:jc w:val="both"/>
      </w:pPr>
    </w:p>
    <w:p w14:paraId="7A7C3E6A" w14:textId="77777777" w:rsidR="00444312" w:rsidRDefault="00444312" w:rsidP="003A372D">
      <w:pPr>
        <w:ind w:left="288" w:hanging="288"/>
        <w:jc w:val="both"/>
      </w:pPr>
      <w:r w:rsidRPr="00020436">
        <w:rPr>
          <w:b/>
        </w:rPr>
        <w:tab/>
      </w:r>
      <w:r w:rsidR="00334030" w:rsidRPr="00020436">
        <w:rPr>
          <w:b/>
        </w:rPr>
        <w:t>(c)</w:t>
      </w:r>
      <w:r w:rsidR="00334030">
        <w:t xml:space="preserve"> </w:t>
      </w:r>
      <w:r w:rsidR="00A22D56">
        <w:t>For the cubic structure s</w:t>
      </w:r>
      <w:r>
        <w:t xml:space="preserve">how that the planes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1</m:t>
                </m:r>
              </m:e>
            </m:acc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2</m:t>
                </m:r>
              </m:e>
            </m:acc>
            <m:r>
              <w:rPr>
                <w:rFonts w:ascii="Cambria Math" w:hAnsi="Cambria Math"/>
              </w:rPr>
              <m:t>1</m:t>
            </m:r>
          </m:e>
        </m:d>
        <m:r>
          <m:rPr>
            <m:nor/>
          </m:rPr>
          <w:rPr>
            <w:rFonts w:ascii="Cambria Math" w:hAnsi="Cambria Math"/>
          </w:rPr>
          <m:t xml:space="preserve"> and </m:t>
        </m:r>
        <m:r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</m:e>
        </m:acc>
        <m:r>
          <w:rPr>
            <w:rFonts w:ascii="Cambria Math" w:hAnsi="Cambria Math"/>
          </w:rPr>
          <m:t>12)</m:t>
        </m:r>
      </m:oMath>
      <w:r>
        <w:t xml:space="preserve"> belong to the zone </w:t>
      </w:r>
      <m:oMath>
        <m:r>
          <w:rPr>
            <w:rFonts w:ascii="Cambria Math" w:hAnsi="Cambria Math"/>
          </w:rPr>
          <m:t>[111]</m:t>
        </m:r>
      </m:oMath>
      <w:r>
        <w:t>. Confirm this by plotting these poles and this zone axis on an (001) cubic projection.</w:t>
      </w:r>
    </w:p>
    <w:p w14:paraId="0B735BFA" w14:textId="77777777" w:rsidR="00334030" w:rsidRDefault="00334030" w:rsidP="003A372D">
      <w:pPr>
        <w:ind w:left="288" w:hanging="288"/>
        <w:jc w:val="both"/>
      </w:pPr>
    </w:p>
    <w:p w14:paraId="639C4163" w14:textId="77777777" w:rsidR="00334030" w:rsidRDefault="00334030" w:rsidP="003A372D">
      <w:pPr>
        <w:ind w:left="288" w:hanging="288"/>
        <w:jc w:val="both"/>
      </w:pPr>
      <w:r w:rsidRPr="00020436">
        <w:rPr>
          <w:b/>
        </w:rPr>
        <w:tab/>
        <w:t>(d)</w:t>
      </w:r>
      <w:r>
        <w:t xml:space="preserve"> Do the following planes all belong to the same zone: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1</m:t>
                </m:r>
              </m:e>
            </m:acc>
            <m:r>
              <w:rPr>
                <w:rFonts w:ascii="Cambria Math" w:hAnsi="Cambria Math"/>
              </w:rPr>
              <m:t>10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3</m:t>
                </m:r>
              </m:e>
            </m:acc>
            <m:r>
              <w:rPr>
                <w:rFonts w:ascii="Cambria Math" w:hAnsi="Cambria Math"/>
              </w:rPr>
              <m:t>11</m:t>
            </m:r>
          </m:e>
        </m:d>
        <m:r>
          <w:rPr>
            <w:rFonts w:ascii="Cambria Math" w:hAnsi="Cambria Math"/>
          </w:rPr>
          <m:t>, 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</m:e>
        </m:acc>
        <m:r>
          <w:rPr>
            <w:rFonts w:ascii="Cambria Math" w:hAnsi="Cambria Math"/>
          </w:rPr>
          <m:t>2)</m:t>
        </m:r>
      </m:oMath>
      <w:r>
        <w:t>? If so, what is the zone axis? Give the indices of any other plane belonging to this zone. Plot all these on the same projection you drew in (c).</w:t>
      </w:r>
    </w:p>
    <w:p w14:paraId="7C855C50" w14:textId="77777777" w:rsidR="003A372D" w:rsidRDefault="003A372D" w:rsidP="003A372D">
      <w:pPr>
        <w:ind w:left="288" w:hanging="288"/>
        <w:jc w:val="both"/>
      </w:pPr>
    </w:p>
    <w:p w14:paraId="233351BD" w14:textId="77777777" w:rsidR="003A372D" w:rsidRDefault="00334030" w:rsidP="00334030">
      <w:pPr>
        <w:ind w:left="288"/>
        <w:jc w:val="both"/>
      </w:pPr>
      <w:r w:rsidRPr="00020436">
        <w:rPr>
          <w:b/>
        </w:rPr>
        <w:t>(e)</w:t>
      </w:r>
      <w:r>
        <w:t xml:space="preserve"> </w:t>
      </w:r>
      <w:r w:rsidR="003A372D">
        <w:t xml:space="preserve">Lutetium has a hexagonal structure with lattice parameters </w:t>
      </w:r>
      <w:r w:rsidR="003A372D" w:rsidRPr="00C35216">
        <w:rPr>
          <w:i/>
        </w:rPr>
        <w:t>a</w:t>
      </w:r>
      <w:r w:rsidR="003A372D">
        <w:t xml:space="preserve">=3.516 Å and </w:t>
      </w:r>
      <w:r w:rsidR="003A372D" w:rsidRPr="00C35216">
        <w:rPr>
          <w:i/>
        </w:rPr>
        <w:t>c</w:t>
      </w:r>
      <w:r w:rsidR="003A372D">
        <w:t xml:space="preserve"> = 5.570 Å. Plot the </w:t>
      </w:r>
      <w:r w:rsidR="003A372D" w:rsidRPr="00C35216">
        <w:rPr>
          <w:i/>
        </w:rPr>
        <w:t>h0l</w:t>
      </w:r>
      <w:r w:rsidR="003A372D">
        <w:t xml:space="preserve"> net of the reciprocal lattice of this material.</w:t>
      </w:r>
    </w:p>
    <w:p w14:paraId="02D39010" w14:textId="77777777" w:rsidR="003A372D" w:rsidRDefault="003A372D" w:rsidP="003A372D">
      <w:pPr>
        <w:ind w:left="288" w:hanging="288"/>
        <w:jc w:val="both"/>
      </w:pPr>
      <w:r>
        <w:tab/>
      </w:r>
    </w:p>
    <w:p w14:paraId="094A6578" w14:textId="77777777" w:rsidR="003A372D" w:rsidRDefault="00334030" w:rsidP="00334030">
      <w:pPr>
        <w:ind w:left="288"/>
        <w:jc w:val="both"/>
      </w:pPr>
      <w:r w:rsidRPr="00020436">
        <w:rPr>
          <w:b/>
        </w:rPr>
        <w:t>(f)</w:t>
      </w:r>
      <w:r>
        <w:t xml:space="preserve"> </w:t>
      </w:r>
      <w:r w:rsidR="003A372D">
        <w:t xml:space="preserve">Draw a standard (0001) projection of beryllium (hexagonal, c/a = 1.57), showing all poles of the form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1</m:t>
                </m:r>
              </m:e>
            </m:acc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1</m:t>
                </m:r>
              </m:e>
            </m:acc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,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1</m:t>
                </m:r>
              </m:e>
            </m:acc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, {2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</m:t>
            </m:r>
          </m:e>
        </m:acc>
        <m:r>
          <w:rPr>
            <w:rFonts w:ascii="Cambria Math" w:hAnsi="Cambria Math"/>
          </w:rPr>
          <m:t>1}</m:t>
        </m:r>
        <m:r>
          <m:rPr>
            <m:nor/>
          </m:rPr>
          <w:rPr>
            <w:rFonts w:ascii="Cambria Math" w:hAnsi="Cambria Math"/>
          </w:rPr>
          <m:t xml:space="preserve"> and </m:t>
        </m:r>
        <m:r>
          <w:rPr>
            <w:rFonts w:ascii="Cambria Math" w:hAnsi="Cambria Math"/>
          </w:rPr>
          <m:t>{10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</m:t>
            </m:r>
          </m:e>
        </m:acc>
        <m:r>
          <w:rPr>
            <w:rFonts w:ascii="Cambria Math" w:hAnsi="Cambria Math"/>
          </w:rPr>
          <m:t>1}</m:t>
        </m:r>
      </m:oMath>
      <w:r w:rsidR="003A372D">
        <w:t xml:space="preserve"> and the important zone circles between them.</w:t>
      </w:r>
    </w:p>
    <w:sectPr w:rsidR="003A372D" w:rsidSect="00FD3724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20"/>
    <w:rsid w:val="00020436"/>
    <w:rsid w:val="000852E9"/>
    <w:rsid w:val="000B7C66"/>
    <w:rsid w:val="0011012D"/>
    <w:rsid w:val="003209C4"/>
    <w:rsid w:val="00334030"/>
    <w:rsid w:val="003356BC"/>
    <w:rsid w:val="003A20CD"/>
    <w:rsid w:val="003A372D"/>
    <w:rsid w:val="003B1014"/>
    <w:rsid w:val="003F114C"/>
    <w:rsid w:val="00404D6C"/>
    <w:rsid w:val="00444312"/>
    <w:rsid w:val="00574275"/>
    <w:rsid w:val="005831C3"/>
    <w:rsid w:val="005C65C0"/>
    <w:rsid w:val="005E06FF"/>
    <w:rsid w:val="005F3850"/>
    <w:rsid w:val="006A3430"/>
    <w:rsid w:val="0072329C"/>
    <w:rsid w:val="00781297"/>
    <w:rsid w:val="008E6B20"/>
    <w:rsid w:val="00A22D56"/>
    <w:rsid w:val="00A247D8"/>
    <w:rsid w:val="00BB0DC7"/>
    <w:rsid w:val="00BE7F5D"/>
    <w:rsid w:val="00C35216"/>
    <w:rsid w:val="00E70F0B"/>
    <w:rsid w:val="00F541F1"/>
    <w:rsid w:val="00F5575B"/>
    <w:rsid w:val="00F8681F"/>
    <w:rsid w:val="00FD06FD"/>
    <w:rsid w:val="00FD372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9727E"/>
  <w15:chartTrackingRefBased/>
  <w15:docId w15:val="{6F7AC704-9EAD-4DBE-87E4-4473F39E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2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357</Words>
  <Characters>2035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Semester, 2002</vt:lpstr>
    </vt:vector>
  </TitlesOfParts>
  <Company>suny stony brook, materials science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Semester, 2002</dc:title>
  <dc:subject/>
  <dc:creator>mdudley</dc:creator>
  <cp:keywords/>
  <dc:description/>
  <cp:lastModifiedBy>Sungin Cho</cp:lastModifiedBy>
  <cp:revision>8</cp:revision>
  <cp:lastPrinted>2017-04-19T14:28:00Z</cp:lastPrinted>
  <dcterms:created xsi:type="dcterms:W3CDTF">2017-04-18T17:03:00Z</dcterms:created>
  <dcterms:modified xsi:type="dcterms:W3CDTF">2017-04-30T06:57:00Z</dcterms:modified>
</cp:coreProperties>
</file>