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360"/>
      </w:tblGrid>
      <w:tr w:rsidR="00DF7551" w:rsidRPr="00DF7551" w:rsidTr="00DF7551">
        <w:tc>
          <w:tcPr>
            <w:tcW w:w="0" w:type="auto"/>
            <w:vAlign w:val="center"/>
            <w:hideMark/>
          </w:tcPr>
          <w:tbl>
            <w:tblPr>
              <w:tblW w:w="17745" w:type="dxa"/>
              <w:tblCellMar>
                <w:top w:w="75" w:type="dxa"/>
                <w:left w:w="0" w:type="dxa"/>
                <w:bottom w:w="75" w:type="dxa"/>
                <w:right w:w="0" w:type="dxa"/>
              </w:tblCellMar>
              <w:tblLook w:val="04A0" w:firstRow="1" w:lastRow="0" w:firstColumn="1" w:lastColumn="0" w:noHBand="0" w:noVBand="1"/>
            </w:tblPr>
            <w:tblGrid>
              <w:gridCol w:w="17745"/>
            </w:tblGrid>
            <w:tr w:rsidR="00DF7551" w:rsidRPr="00DF7551">
              <w:tc>
                <w:tcPr>
                  <w:tcW w:w="0" w:type="auto"/>
                  <w:shd w:val="clear" w:color="auto" w:fill="FFFFFF"/>
                  <w:tcMar>
                    <w:top w:w="75" w:type="dxa"/>
                    <w:left w:w="0" w:type="dxa"/>
                    <w:bottom w:w="0" w:type="dxa"/>
                    <w:right w:w="0" w:type="dxa"/>
                  </w:tcMar>
                  <w:vAlign w:val="center"/>
                  <w:hideMark/>
                </w:tcPr>
                <w:p w:rsidR="00570F6F" w:rsidRDefault="00DF7551" w:rsidP="00DF7551">
                  <w:pPr>
                    <w:spacing w:beforeAutospacing="1" w:after="0" w:afterAutospacing="1" w:line="240" w:lineRule="auto"/>
                    <w:rPr>
                      <w:rFonts w:ascii="Times New Roman" w:eastAsia="Times New Roman" w:hAnsi="Times New Roman" w:cs="Times New Roman"/>
                      <w:sz w:val="24"/>
                      <w:szCs w:val="24"/>
                    </w:rPr>
                  </w:pPr>
                  <w:r w:rsidRPr="00DF7551">
                    <w:rPr>
                      <w:rFonts w:ascii="Times New Roman" w:eastAsia="Times New Roman" w:hAnsi="Times New Roman" w:cs="Times New Roman"/>
                      <w:sz w:val="24"/>
                      <w:szCs w:val="24"/>
                    </w:rPr>
                    <w:fldChar w:fldCharType="begin"/>
                  </w:r>
                  <w:r w:rsidRPr="00DF7551">
                    <w:rPr>
                      <w:rFonts w:ascii="Times New Roman" w:eastAsia="Times New Roman" w:hAnsi="Times New Roman" w:cs="Times New Roman"/>
                      <w:sz w:val="24"/>
                      <w:szCs w:val="24"/>
                    </w:rPr>
                    <w:instrText xml:space="preserve"> HYPERLINK "javascript:void(0)" \o "Re:Analysis Tools in Industry" </w:instrText>
                  </w:r>
                  <w:r w:rsidRPr="00DF7551">
                    <w:rPr>
                      <w:rFonts w:ascii="Times New Roman" w:eastAsia="Times New Roman" w:hAnsi="Times New Roman" w:cs="Times New Roman"/>
                      <w:sz w:val="24"/>
                      <w:szCs w:val="24"/>
                    </w:rPr>
                    <w:fldChar w:fldCharType="separate"/>
                  </w:r>
                  <w:proofErr w:type="spellStart"/>
                  <w:r w:rsidRPr="00DF7551">
                    <w:rPr>
                      <w:rFonts w:ascii="Times New Roman" w:eastAsia="Times New Roman" w:hAnsi="Times New Roman" w:cs="Times New Roman"/>
                      <w:color w:val="0000FF"/>
                      <w:sz w:val="24"/>
                      <w:szCs w:val="24"/>
                      <w:u w:val="single"/>
                    </w:rPr>
                    <w:t>Re:Analysis</w:t>
                  </w:r>
                  <w:proofErr w:type="spellEnd"/>
                  <w:r w:rsidRPr="00DF7551">
                    <w:rPr>
                      <w:rFonts w:ascii="Times New Roman" w:eastAsia="Times New Roman" w:hAnsi="Times New Roman" w:cs="Times New Roman"/>
                      <w:color w:val="0000FF"/>
                      <w:sz w:val="24"/>
                      <w:szCs w:val="24"/>
                      <w:u w:val="single"/>
                    </w:rPr>
                    <w:t xml:space="preserve"> Tools in Industry</w:t>
                  </w:r>
                  <w:r w:rsidRPr="00DF7551">
                    <w:rPr>
                      <w:rFonts w:ascii="Times New Roman" w:eastAsia="Times New Roman" w:hAnsi="Times New Roman" w:cs="Times New Roman"/>
                      <w:sz w:val="24"/>
                      <w:szCs w:val="24"/>
                    </w:rPr>
                    <w:fldChar w:fldCharType="end"/>
                  </w:r>
                  <w:r w:rsidRPr="00DF7551">
                    <w:rPr>
                      <w:rFonts w:ascii="Times New Roman" w:eastAsia="Times New Roman" w:hAnsi="Times New Roman" w:cs="Times New Roman"/>
                      <w:sz w:val="24"/>
                      <w:szCs w:val="24"/>
                    </w:rPr>
                    <w:t> </w:t>
                  </w:r>
                </w:p>
                <w:p w:rsidR="00570F6F" w:rsidRDefault="00570F6F" w:rsidP="00DF7551">
                  <w:pPr>
                    <w:spacing w:beforeAutospacing="1" w:after="0" w:afterAutospacing="1" w:line="240" w:lineRule="auto"/>
                    <w:rPr>
                      <w:rFonts w:ascii="Times New Roman" w:eastAsia="Times New Roman" w:hAnsi="Times New Roman" w:cs="Times New Roman"/>
                      <w:sz w:val="24"/>
                      <w:szCs w:val="24"/>
                    </w:rPr>
                  </w:pPr>
                </w:p>
                <w:p w:rsidR="00DF7551" w:rsidRPr="00DF7551" w:rsidRDefault="00DF7551" w:rsidP="00DF7551">
                  <w:pPr>
                    <w:spacing w:beforeAutospacing="1" w:after="0" w:afterAutospacing="1" w:line="240" w:lineRule="auto"/>
                    <w:rPr>
                      <w:rFonts w:ascii="Calibri" w:eastAsia="Times New Roman" w:hAnsi="Calibri" w:cs="Calibri"/>
                      <w:color w:val="747474"/>
                      <w:sz w:val="21"/>
                      <w:szCs w:val="21"/>
                    </w:rPr>
                  </w:pPr>
                  <w:bookmarkStart w:id="0" w:name="_GoBack"/>
                  <w:bookmarkEnd w:id="0"/>
                  <w:r w:rsidRPr="00DF7551">
                    <w:rPr>
                      <w:rFonts w:ascii="Calibri" w:eastAsia="Times New Roman" w:hAnsi="Calibri" w:cs="Calibri"/>
                      <w:color w:val="747474"/>
                      <w:sz w:val="21"/>
                      <w:szCs w:val="21"/>
                    </w:rPr>
                    <w:t>    </w:t>
                  </w:r>
                  <w:r w:rsidRPr="00DF7551">
                    <w:rPr>
                      <w:rFonts w:ascii="Times New Roman" w:eastAsia="Times New Roman" w:hAnsi="Times New Roman" w:cs="Times New Roman"/>
                      <w:color w:val="747474"/>
                      <w:sz w:val="24"/>
                      <w:szCs w:val="24"/>
                    </w:rPr>
                    <w:t>   Some organizational tools are vital from an organizational perspective.  Two of these tools include core competency as well as the balanced scorecard, which would be of much importance to corporate growth.  Core competency has a significant role to play within the organizational setting.  Organizations experience intense competition especially from both local as well as global markets (Yang, 2015).It is due to this that they have to develop strategies to enhance their competitive advantage.  Industries have therefore adopted effective strategic actions to improve the competitive advantage.  Organizations are expected to develop core competencies as well as core capabilities, and this will help the organization to enhance its processes.  Core competencies include the capacity of knowledge intensive firms and therefore are critical in ensuring these organizations maintain a competitive advantage.</w:t>
                  </w:r>
                </w:p>
                <w:p w:rsidR="00DF7551" w:rsidRPr="00DF7551" w:rsidRDefault="00DF7551" w:rsidP="00DF7551">
                  <w:pPr>
                    <w:spacing w:before="100" w:beforeAutospacing="1" w:after="100" w:afterAutospacing="1" w:line="240" w:lineRule="auto"/>
                    <w:rPr>
                      <w:rFonts w:ascii="Calibri" w:eastAsia="Times New Roman" w:hAnsi="Calibri" w:cs="Calibri"/>
                      <w:color w:val="747474"/>
                      <w:sz w:val="21"/>
                      <w:szCs w:val="21"/>
                    </w:rPr>
                  </w:pPr>
                  <w:r w:rsidRPr="00DF7551">
                    <w:rPr>
                      <w:rFonts w:ascii="Calibri" w:eastAsia="Times New Roman" w:hAnsi="Calibri" w:cs="Calibri"/>
                      <w:color w:val="747474"/>
                      <w:sz w:val="21"/>
                      <w:szCs w:val="21"/>
                    </w:rPr>
                    <w:t> </w:t>
                  </w:r>
                </w:p>
                <w:p w:rsidR="00DF7551" w:rsidRPr="00DF7551" w:rsidRDefault="00DF7551" w:rsidP="00DF7551">
                  <w:pPr>
                    <w:spacing w:beforeAutospacing="1" w:after="0" w:afterAutospacing="1" w:line="240" w:lineRule="auto"/>
                    <w:rPr>
                      <w:rFonts w:ascii="Calibri" w:eastAsia="Times New Roman" w:hAnsi="Calibri" w:cs="Calibri"/>
                      <w:color w:val="747474"/>
                      <w:sz w:val="21"/>
                      <w:szCs w:val="21"/>
                    </w:rPr>
                  </w:pPr>
                  <w:r w:rsidRPr="00DF7551">
                    <w:rPr>
                      <w:rFonts w:ascii="Times New Roman" w:eastAsia="Times New Roman" w:hAnsi="Times New Roman" w:cs="Times New Roman"/>
                      <w:color w:val="747474"/>
                      <w:sz w:val="24"/>
                      <w:szCs w:val="24"/>
                    </w:rPr>
                    <w:t>       It will also be necessary for these organizations to develop new growth platforms and that will help them build on their capabilities.  There is a need to integrate specialized knowledge as well as skills and technical expertise, and this will distinguish the firm from its competitors.  For the organization to benefit from its core competencies, it will have to set up strategic processes (Yang, 2015).The company will have to consider business performances to the firm.  If the organization is to heighten its core competencies, it will have to execute individual drivers to achieve competitive advantage in its processes.  To achieve these core competencies within the organizational setting, core competencies will be necessary for the enterprise to achieve its long-term profits.  The use of balance scorecard is yet another important consideration within the corporate environment.</w:t>
                  </w:r>
                </w:p>
                <w:p w:rsidR="00DF7551" w:rsidRPr="00DF7551" w:rsidRDefault="00DF7551" w:rsidP="00DF7551">
                  <w:pPr>
                    <w:spacing w:before="100" w:beforeAutospacing="1" w:after="100" w:afterAutospacing="1" w:line="240" w:lineRule="auto"/>
                    <w:rPr>
                      <w:rFonts w:ascii="Calibri" w:eastAsia="Times New Roman" w:hAnsi="Calibri" w:cs="Calibri"/>
                      <w:color w:val="747474"/>
                      <w:sz w:val="21"/>
                      <w:szCs w:val="21"/>
                    </w:rPr>
                  </w:pPr>
                  <w:r w:rsidRPr="00DF7551">
                    <w:rPr>
                      <w:rFonts w:ascii="Calibri" w:eastAsia="Times New Roman" w:hAnsi="Calibri" w:cs="Calibri"/>
                      <w:color w:val="747474"/>
                      <w:sz w:val="21"/>
                      <w:szCs w:val="21"/>
                    </w:rPr>
                    <w:t> </w:t>
                  </w:r>
                </w:p>
                <w:p w:rsidR="00DF7551" w:rsidRPr="00DF7551" w:rsidRDefault="00DF7551" w:rsidP="00DF7551">
                  <w:pPr>
                    <w:spacing w:beforeAutospacing="1" w:after="0" w:afterAutospacing="1" w:line="240" w:lineRule="auto"/>
                    <w:rPr>
                      <w:rFonts w:ascii="Calibri" w:eastAsia="Times New Roman" w:hAnsi="Calibri" w:cs="Calibri"/>
                      <w:color w:val="747474"/>
                      <w:sz w:val="21"/>
                      <w:szCs w:val="21"/>
                    </w:rPr>
                  </w:pPr>
                  <w:r w:rsidRPr="00DF7551">
                    <w:rPr>
                      <w:rFonts w:ascii="Times New Roman" w:eastAsia="Times New Roman" w:hAnsi="Times New Roman" w:cs="Times New Roman"/>
                      <w:color w:val="747474"/>
                      <w:sz w:val="24"/>
                      <w:szCs w:val="24"/>
                    </w:rPr>
                    <w:t>       A strategic planning and management system is used within organizations to align business activities with the vision and the strategy of the organization.  It includes such aspects as improving internal and external communications as well as monitoring the organizational performance against strategic goals.  It is necessary to use simple performance measurement frameworks to ensure that strategic planning occurs within the organization (</w:t>
                  </w:r>
                  <w:proofErr w:type="spellStart"/>
                  <w:r w:rsidRPr="00DF7551">
                    <w:rPr>
                      <w:rFonts w:ascii="Times New Roman" w:eastAsia="Times New Roman" w:hAnsi="Times New Roman" w:cs="Times New Roman"/>
                      <w:color w:val="747474"/>
                      <w:sz w:val="24"/>
                      <w:szCs w:val="24"/>
                    </w:rPr>
                    <w:t>Narayanamma</w:t>
                  </w:r>
                  <w:proofErr w:type="spellEnd"/>
                  <w:r w:rsidRPr="00DF7551">
                    <w:rPr>
                      <w:rFonts w:ascii="Times New Roman" w:eastAsia="Times New Roman" w:hAnsi="Times New Roman" w:cs="Times New Roman"/>
                      <w:color w:val="747474"/>
                      <w:sz w:val="24"/>
                      <w:szCs w:val="24"/>
                    </w:rPr>
                    <w:t xml:space="preserve"> &amp;Lalitha, 2016).The balanced scorecard will transform the strategic plan into an effective framework that will guide organizational processes.  The organization will have to understand that learning processes are as vital as training in the corporate aspect.  Therefore, the company will incorporate learning to include the development of organizational culture as well as the strength of knowledge management within the organization.  Such initiatives will focus on the internal skills as well as the capabilities of the employees that are required to support internal processes.</w:t>
                  </w:r>
                </w:p>
                <w:p w:rsidR="00DF7551" w:rsidRPr="00DF7551" w:rsidRDefault="00DF7551" w:rsidP="00DF7551">
                  <w:pPr>
                    <w:spacing w:before="100" w:beforeAutospacing="1" w:after="100" w:afterAutospacing="1" w:line="240" w:lineRule="auto"/>
                    <w:rPr>
                      <w:rFonts w:ascii="Calibri" w:eastAsia="Times New Roman" w:hAnsi="Calibri" w:cs="Calibri"/>
                      <w:color w:val="747474"/>
                      <w:sz w:val="21"/>
                      <w:szCs w:val="21"/>
                    </w:rPr>
                  </w:pPr>
                  <w:r w:rsidRPr="00DF7551">
                    <w:rPr>
                      <w:rFonts w:ascii="Calibri" w:eastAsia="Times New Roman" w:hAnsi="Calibri" w:cs="Calibri"/>
                      <w:color w:val="747474"/>
                      <w:sz w:val="21"/>
                      <w:szCs w:val="21"/>
                    </w:rPr>
                    <w:t> </w:t>
                  </w:r>
                </w:p>
                <w:p w:rsidR="00DF7551" w:rsidRPr="00DF7551" w:rsidRDefault="00DF7551" w:rsidP="00DF7551">
                  <w:pPr>
                    <w:spacing w:beforeAutospacing="1" w:after="0" w:afterAutospacing="1" w:line="240" w:lineRule="auto"/>
                    <w:rPr>
                      <w:rFonts w:ascii="Calibri" w:eastAsia="Times New Roman" w:hAnsi="Calibri" w:cs="Calibri"/>
                      <w:color w:val="747474"/>
                      <w:sz w:val="21"/>
                      <w:szCs w:val="21"/>
                    </w:rPr>
                  </w:pPr>
                  <w:r w:rsidRPr="00DF7551">
                    <w:rPr>
                      <w:rFonts w:ascii="Times New Roman" w:eastAsia="Times New Roman" w:hAnsi="Times New Roman" w:cs="Times New Roman"/>
                      <w:color w:val="747474"/>
                      <w:sz w:val="24"/>
                      <w:szCs w:val="24"/>
                    </w:rPr>
                    <w:t>       The use of this will describe to the organizational management the right technologies to use in change processes as well as support strategies to ensure that this is effective.  The organization should also attempt to develop skills through education as well as training, and motivating employees by use of various strategies.  A change in business environment will often lead to management within the organization (</w:t>
                  </w:r>
                  <w:proofErr w:type="spellStart"/>
                  <w:r w:rsidRPr="00DF7551">
                    <w:rPr>
                      <w:rFonts w:ascii="Times New Roman" w:eastAsia="Times New Roman" w:hAnsi="Times New Roman" w:cs="Times New Roman"/>
                      <w:color w:val="747474"/>
                      <w:sz w:val="24"/>
                      <w:szCs w:val="24"/>
                    </w:rPr>
                    <w:t>Narayanamma</w:t>
                  </w:r>
                  <w:proofErr w:type="spellEnd"/>
                  <w:r w:rsidRPr="00DF7551">
                    <w:rPr>
                      <w:rFonts w:ascii="Times New Roman" w:eastAsia="Times New Roman" w:hAnsi="Times New Roman" w:cs="Times New Roman"/>
                      <w:color w:val="747474"/>
                      <w:sz w:val="24"/>
                      <w:szCs w:val="24"/>
                    </w:rPr>
                    <w:t xml:space="preserve"> &amp; Lalitha, 2016).There is a correlation between the human resource practices and their effectiveness within the organizational setting.  The organization will have to learn how to focus on activities and critical processes that are required for the company.  These various organizational processes are necessary for determining whether the managerial intervention will be needed within the organization.  The manager will have to identify the processes that are critical to achieving customer as well as shareholder objectives.</w:t>
                  </w:r>
                </w:p>
                <w:p w:rsidR="00DF7551" w:rsidRPr="00DF7551" w:rsidRDefault="00DF7551" w:rsidP="00DF7551">
                  <w:pPr>
                    <w:spacing w:before="100" w:beforeAutospacing="1" w:after="100" w:afterAutospacing="1" w:line="240" w:lineRule="auto"/>
                    <w:rPr>
                      <w:rFonts w:ascii="Calibri" w:eastAsia="Times New Roman" w:hAnsi="Calibri" w:cs="Calibri"/>
                      <w:color w:val="747474"/>
                      <w:sz w:val="21"/>
                      <w:szCs w:val="21"/>
                    </w:rPr>
                  </w:pPr>
                  <w:r w:rsidRPr="00DF7551">
                    <w:rPr>
                      <w:rFonts w:ascii="Calibri" w:eastAsia="Times New Roman" w:hAnsi="Calibri" w:cs="Calibri"/>
                      <w:color w:val="747474"/>
                      <w:sz w:val="21"/>
                      <w:szCs w:val="21"/>
                    </w:rPr>
                    <w:t> </w:t>
                  </w:r>
                </w:p>
                <w:p w:rsidR="00DF7551" w:rsidRPr="00DF7551" w:rsidRDefault="00DF7551" w:rsidP="00DF7551">
                  <w:pPr>
                    <w:spacing w:beforeAutospacing="1" w:after="0" w:afterAutospacing="1" w:line="240" w:lineRule="auto"/>
                    <w:rPr>
                      <w:rFonts w:ascii="Calibri" w:eastAsia="Times New Roman" w:hAnsi="Calibri" w:cs="Calibri"/>
                      <w:color w:val="747474"/>
                      <w:sz w:val="21"/>
                      <w:szCs w:val="21"/>
                    </w:rPr>
                  </w:pPr>
                  <w:r w:rsidRPr="00DF7551">
                    <w:rPr>
                      <w:rFonts w:ascii="Times New Roman" w:eastAsia="Times New Roman" w:hAnsi="Times New Roman" w:cs="Times New Roman"/>
                      <w:color w:val="747474"/>
                      <w:sz w:val="24"/>
                      <w:szCs w:val="24"/>
                    </w:rPr>
                    <w:t>       The company will, therefore, develop objectives as well as measures that will lead to the formulation of targets as well as measures for financial as well as customer goals.  The company will, therefore, need to focus on ways of ensuring that all processes within the organization ensure that the client's needs are met.  Employee retention plans will also be necessary, as they will ensure continuity occurs within the organization.                                                    </w:t>
                  </w:r>
                </w:p>
                <w:p w:rsidR="00DF7551" w:rsidRPr="00DF7551" w:rsidRDefault="00DF7551" w:rsidP="00DF7551">
                  <w:pPr>
                    <w:spacing w:beforeAutospacing="1" w:after="0" w:afterAutospacing="1" w:line="240" w:lineRule="auto"/>
                    <w:rPr>
                      <w:rFonts w:ascii="Calibri" w:eastAsia="Times New Roman" w:hAnsi="Calibri" w:cs="Calibri"/>
                      <w:color w:val="747474"/>
                      <w:sz w:val="21"/>
                      <w:szCs w:val="21"/>
                    </w:rPr>
                  </w:pPr>
                  <w:r w:rsidRPr="00DF7551">
                    <w:rPr>
                      <w:rFonts w:ascii="Times New Roman" w:eastAsia="Times New Roman" w:hAnsi="Times New Roman" w:cs="Times New Roman"/>
                      <w:color w:val="747474"/>
                      <w:sz w:val="24"/>
                      <w:szCs w:val="24"/>
                    </w:rPr>
                    <w:t> </w:t>
                  </w:r>
                </w:p>
                <w:p w:rsidR="00DF7551" w:rsidRPr="00DF7551" w:rsidRDefault="00DF7551" w:rsidP="00DF7551">
                  <w:pPr>
                    <w:spacing w:beforeAutospacing="1" w:after="0" w:afterAutospacing="1" w:line="240" w:lineRule="auto"/>
                    <w:rPr>
                      <w:rFonts w:ascii="Calibri" w:eastAsia="Times New Roman" w:hAnsi="Calibri" w:cs="Calibri"/>
                      <w:color w:val="747474"/>
                      <w:sz w:val="21"/>
                      <w:szCs w:val="21"/>
                    </w:rPr>
                  </w:pPr>
                  <w:r w:rsidRPr="00DF7551">
                    <w:rPr>
                      <w:rFonts w:ascii="Times New Roman" w:eastAsia="Times New Roman" w:hAnsi="Times New Roman" w:cs="Times New Roman"/>
                      <w:color w:val="747474"/>
                      <w:sz w:val="24"/>
                      <w:szCs w:val="24"/>
                    </w:rPr>
                    <w:t> </w:t>
                  </w:r>
                </w:p>
                <w:p w:rsidR="00DF7551" w:rsidRPr="00DF7551" w:rsidRDefault="00DF7551" w:rsidP="00DF7551">
                  <w:pPr>
                    <w:spacing w:beforeAutospacing="1" w:after="0" w:afterAutospacing="1" w:line="240" w:lineRule="auto"/>
                    <w:rPr>
                      <w:rFonts w:ascii="Calibri" w:eastAsia="Times New Roman" w:hAnsi="Calibri" w:cs="Calibri"/>
                      <w:color w:val="747474"/>
                      <w:sz w:val="21"/>
                      <w:szCs w:val="21"/>
                    </w:rPr>
                  </w:pPr>
                  <w:r w:rsidRPr="00DF7551">
                    <w:rPr>
                      <w:rFonts w:ascii="Times New Roman" w:eastAsia="Times New Roman" w:hAnsi="Times New Roman" w:cs="Times New Roman"/>
                      <w:color w:val="747474"/>
                      <w:sz w:val="24"/>
                      <w:szCs w:val="24"/>
                    </w:rPr>
                    <w:lastRenderedPageBreak/>
                    <w:t> </w:t>
                  </w:r>
                </w:p>
                <w:p w:rsidR="00DF7551" w:rsidRPr="00DF7551" w:rsidRDefault="00DF7551" w:rsidP="00DF7551">
                  <w:pPr>
                    <w:spacing w:beforeAutospacing="1" w:after="0" w:afterAutospacing="1" w:line="240" w:lineRule="auto"/>
                    <w:rPr>
                      <w:rFonts w:ascii="Calibri" w:eastAsia="Times New Roman" w:hAnsi="Calibri" w:cs="Calibri"/>
                      <w:color w:val="747474"/>
                      <w:sz w:val="21"/>
                      <w:szCs w:val="21"/>
                    </w:rPr>
                  </w:pPr>
                  <w:r w:rsidRPr="00DF7551">
                    <w:rPr>
                      <w:rFonts w:ascii="Times New Roman" w:eastAsia="Times New Roman" w:hAnsi="Times New Roman" w:cs="Times New Roman"/>
                      <w:color w:val="747474"/>
                      <w:sz w:val="24"/>
                      <w:szCs w:val="24"/>
                    </w:rPr>
                    <w:t> </w:t>
                  </w:r>
                </w:p>
                <w:p w:rsidR="00DF7551" w:rsidRPr="00DF7551" w:rsidRDefault="00DF7551" w:rsidP="00DF7551">
                  <w:pPr>
                    <w:spacing w:beforeAutospacing="1" w:after="0" w:afterAutospacing="1" w:line="240" w:lineRule="auto"/>
                    <w:rPr>
                      <w:rFonts w:ascii="Calibri" w:eastAsia="Times New Roman" w:hAnsi="Calibri" w:cs="Calibri"/>
                      <w:color w:val="747474"/>
                      <w:sz w:val="21"/>
                      <w:szCs w:val="21"/>
                    </w:rPr>
                  </w:pPr>
                  <w:r w:rsidRPr="00DF7551">
                    <w:rPr>
                      <w:rFonts w:ascii="Times New Roman" w:eastAsia="Times New Roman" w:hAnsi="Times New Roman" w:cs="Times New Roman"/>
                      <w:color w:val="747474"/>
                      <w:sz w:val="24"/>
                      <w:szCs w:val="24"/>
                    </w:rPr>
                    <w:t> </w:t>
                  </w:r>
                </w:p>
                <w:p w:rsidR="00DF7551" w:rsidRPr="00DF7551" w:rsidRDefault="00DF7551" w:rsidP="00DF7551">
                  <w:pPr>
                    <w:spacing w:beforeAutospacing="1" w:after="0" w:afterAutospacing="1" w:line="240" w:lineRule="auto"/>
                    <w:rPr>
                      <w:rFonts w:ascii="Calibri" w:eastAsia="Times New Roman" w:hAnsi="Calibri" w:cs="Calibri"/>
                      <w:color w:val="747474"/>
                      <w:sz w:val="21"/>
                      <w:szCs w:val="21"/>
                    </w:rPr>
                  </w:pPr>
                  <w:r w:rsidRPr="00DF7551">
                    <w:rPr>
                      <w:rFonts w:ascii="Times New Roman" w:eastAsia="Times New Roman" w:hAnsi="Times New Roman" w:cs="Times New Roman"/>
                      <w:color w:val="747474"/>
                      <w:sz w:val="24"/>
                      <w:szCs w:val="24"/>
                    </w:rPr>
                    <w:t>                                                                                                                                                             References</w:t>
                  </w:r>
                </w:p>
                <w:p w:rsidR="00DF7551" w:rsidRPr="00DF7551" w:rsidRDefault="00DF7551" w:rsidP="00DF7551">
                  <w:pPr>
                    <w:spacing w:before="100" w:beforeAutospacing="1" w:after="100" w:afterAutospacing="1" w:line="240" w:lineRule="auto"/>
                    <w:rPr>
                      <w:rFonts w:ascii="Calibri" w:eastAsia="Times New Roman" w:hAnsi="Calibri" w:cs="Calibri"/>
                      <w:color w:val="747474"/>
                      <w:sz w:val="21"/>
                      <w:szCs w:val="21"/>
                    </w:rPr>
                  </w:pPr>
                  <w:r w:rsidRPr="00DF7551">
                    <w:rPr>
                      <w:rFonts w:ascii="Calibri" w:eastAsia="Times New Roman" w:hAnsi="Calibri" w:cs="Calibri"/>
                      <w:color w:val="747474"/>
                      <w:sz w:val="21"/>
                      <w:szCs w:val="21"/>
                    </w:rPr>
                    <w:t> </w:t>
                  </w:r>
                </w:p>
                <w:p w:rsidR="00DF7551" w:rsidRPr="00DF7551" w:rsidRDefault="00DF7551" w:rsidP="00DF7551">
                  <w:pPr>
                    <w:spacing w:beforeAutospacing="1" w:after="0" w:afterAutospacing="1" w:line="240" w:lineRule="auto"/>
                    <w:rPr>
                      <w:rFonts w:ascii="Calibri" w:eastAsia="Times New Roman" w:hAnsi="Calibri" w:cs="Calibri"/>
                      <w:color w:val="747474"/>
                      <w:sz w:val="21"/>
                      <w:szCs w:val="21"/>
                    </w:rPr>
                  </w:pPr>
                  <w:proofErr w:type="spellStart"/>
                  <w:r w:rsidRPr="00DF7551">
                    <w:rPr>
                      <w:rFonts w:ascii="Times New Roman" w:eastAsia="Times New Roman" w:hAnsi="Times New Roman" w:cs="Times New Roman"/>
                      <w:color w:val="747474"/>
                      <w:sz w:val="24"/>
                      <w:szCs w:val="24"/>
                    </w:rPr>
                    <w:t>Narayanamma</w:t>
                  </w:r>
                  <w:proofErr w:type="spellEnd"/>
                  <w:r w:rsidRPr="00DF7551">
                    <w:rPr>
                      <w:rFonts w:ascii="Times New Roman" w:eastAsia="Times New Roman" w:hAnsi="Times New Roman" w:cs="Times New Roman"/>
                      <w:color w:val="747474"/>
                      <w:sz w:val="24"/>
                      <w:szCs w:val="24"/>
                    </w:rPr>
                    <w:t>, P. L., &amp; Lalitha, K. (2016). Balanced Scorecard-The Learning &amp; Growth Perspective. </w:t>
                  </w:r>
                  <w:r w:rsidRPr="00DF7551">
                    <w:rPr>
                      <w:rFonts w:ascii="Times New Roman" w:eastAsia="Times New Roman" w:hAnsi="Times New Roman" w:cs="Times New Roman"/>
                      <w:i/>
                      <w:iCs/>
                      <w:color w:val="747474"/>
                      <w:sz w:val="24"/>
                      <w:szCs w:val="24"/>
                    </w:rPr>
                    <w:t>Vol. XXI Issue II</w:t>
                  </w:r>
                  <w:r w:rsidRPr="00DF7551">
                    <w:rPr>
                      <w:rFonts w:ascii="Times New Roman" w:eastAsia="Times New Roman" w:hAnsi="Times New Roman" w:cs="Times New Roman"/>
                      <w:color w:val="747474"/>
                      <w:sz w:val="24"/>
                      <w:szCs w:val="24"/>
                    </w:rPr>
                    <w:t>, 59.</w:t>
                  </w:r>
                </w:p>
                <w:p w:rsidR="00DF7551" w:rsidRPr="00DF7551" w:rsidRDefault="00DF7551" w:rsidP="00DF7551">
                  <w:pPr>
                    <w:spacing w:beforeAutospacing="1" w:after="0" w:afterAutospacing="1" w:line="240" w:lineRule="auto"/>
                    <w:rPr>
                      <w:rFonts w:ascii="Calibri" w:eastAsia="Times New Roman" w:hAnsi="Calibri" w:cs="Calibri"/>
                      <w:color w:val="747474"/>
                      <w:sz w:val="21"/>
                      <w:szCs w:val="21"/>
                    </w:rPr>
                  </w:pPr>
                  <w:r w:rsidRPr="00DF7551">
                    <w:rPr>
                      <w:rFonts w:ascii="Times New Roman" w:eastAsia="Times New Roman" w:hAnsi="Times New Roman" w:cs="Times New Roman"/>
                      <w:color w:val="747474"/>
                      <w:sz w:val="24"/>
                      <w:szCs w:val="24"/>
                    </w:rPr>
                    <w:t>Yang, C. C. (2015). The integrated model of core competence and core capability. </w:t>
                  </w:r>
                  <w:r w:rsidRPr="00DF7551">
                    <w:rPr>
                      <w:rFonts w:ascii="Times New Roman" w:eastAsia="Times New Roman" w:hAnsi="Times New Roman" w:cs="Times New Roman"/>
                      <w:i/>
                      <w:iCs/>
                      <w:color w:val="747474"/>
                      <w:sz w:val="24"/>
                      <w:szCs w:val="24"/>
                    </w:rPr>
                    <w:t>Total Quality Management &amp; Business Excellence</w:t>
                  </w:r>
                  <w:r w:rsidRPr="00DF7551">
                    <w:rPr>
                      <w:rFonts w:ascii="Times New Roman" w:eastAsia="Times New Roman" w:hAnsi="Times New Roman" w:cs="Times New Roman"/>
                      <w:color w:val="747474"/>
                      <w:sz w:val="24"/>
                      <w:szCs w:val="24"/>
                    </w:rPr>
                    <w:t>, </w:t>
                  </w:r>
                  <w:r w:rsidRPr="00DF7551">
                    <w:rPr>
                      <w:rFonts w:ascii="Times New Roman" w:eastAsia="Times New Roman" w:hAnsi="Times New Roman" w:cs="Times New Roman"/>
                      <w:i/>
                      <w:iCs/>
                      <w:color w:val="747474"/>
                      <w:sz w:val="24"/>
                      <w:szCs w:val="24"/>
                    </w:rPr>
                    <w:t>26</w:t>
                  </w:r>
                  <w:r w:rsidRPr="00DF7551">
                    <w:rPr>
                      <w:rFonts w:ascii="Times New Roman" w:eastAsia="Times New Roman" w:hAnsi="Times New Roman" w:cs="Times New Roman"/>
                      <w:color w:val="747474"/>
                      <w:sz w:val="24"/>
                      <w:szCs w:val="24"/>
                    </w:rPr>
                    <w:t>(1-2), 173-189.</w:t>
                  </w:r>
                </w:p>
                <w:p w:rsidR="00DF7551" w:rsidRPr="00DF7551" w:rsidRDefault="00DF7551" w:rsidP="00DF7551">
                  <w:pPr>
                    <w:spacing w:beforeAutospacing="1" w:after="0" w:afterAutospacing="1" w:line="240" w:lineRule="auto"/>
                    <w:rPr>
                      <w:rFonts w:ascii="Calibri" w:eastAsia="Times New Roman" w:hAnsi="Calibri" w:cs="Calibri"/>
                      <w:color w:val="747474"/>
                      <w:sz w:val="21"/>
                      <w:szCs w:val="21"/>
                    </w:rPr>
                  </w:pPr>
                  <w:r w:rsidRPr="00DF7551">
                    <w:rPr>
                      <w:rFonts w:ascii="Times New Roman" w:eastAsia="Times New Roman" w:hAnsi="Times New Roman" w:cs="Times New Roman"/>
                      <w:color w:val="747474"/>
                      <w:sz w:val="24"/>
                      <w:szCs w:val="24"/>
                    </w:rPr>
                    <w:t> </w:t>
                  </w:r>
                </w:p>
              </w:tc>
            </w:tr>
            <w:tr w:rsidR="00DF7551" w:rsidRPr="00DF7551">
              <w:tc>
                <w:tcPr>
                  <w:tcW w:w="0" w:type="auto"/>
                  <w:shd w:val="clear" w:color="auto" w:fill="FFFFFF"/>
                  <w:tcMar>
                    <w:top w:w="0" w:type="dxa"/>
                    <w:left w:w="0" w:type="dxa"/>
                    <w:bottom w:w="0" w:type="dxa"/>
                    <w:right w:w="0" w:type="dxa"/>
                  </w:tcMar>
                  <w:vAlign w:val="center"/>
                  <w:hideMark/>
                </w:tcPr>
                <w:p w:rsidR="00DF7551" w:rsidRPr="00DF7551" w:rsidRDefault="00DF7551" w:rsidP="00DF7551">
                  <w:pPr>
                    <w:spacing w:after="0" w:line="240" w:lineRule="auto"/>
                    <w:rPr>
                      <w:rFonts w:ascii="Times New Roman" w:eastAsia="Times New Roman" w:hAnsi="Times New Roman" w:cs="Times New Roman"/>
                      <w:sz w:val="24"/>
                      <w:szCs w:val="24"/>
                    </w:rPr>
                  </w:pPr>
                </w:p>
              </w:tc>
            </w:tr>
          </w:tbl>
          <w:p w:rsidR="00DF7551" w:rsidRPr="00DF7551" w:rsidRDefault="00DF7551" w:rsidP="00DF7551">
            <w:pPr>
              <w:spacing w:after="0" w:line="240" w:lineRule="atLeast"/>
              <w:rPr>
                <w:rFonts w:ascii="Times New Roman" w:eastAsia="Times New Roman" w:hAnsi="Times New Roman" w:cs="Times New Roman"/>
                <w:sz w:val="24"/>
                <w:szCs w:val="24"/>
              </w:rPr>
            </w:pPr>
          </w:p>
        </w:tc>
      </w:tr>
    </w:tbl>
    <w:p w:rsidR="00A84A47" w:rsidRDefault="00A84A47"/>
    <w:sectPr w:rsidR="00A84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551"/>
    <w:rsid w:val="00570F6F"/>
    <w:rsid w:val="00866672"/>
    <w:rsid w:val="00A84A47"/>
    <w:rsid w:val="00DF7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CA9AC"/>
  <w15:chartTrackingRefBased/>
  <w15:docId w15:val="{171A45B4-EF0B-4209-9D3A-D5C3CFC7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7551"/>
    <w:rPr>
      <w:color w:val="0000FF"/>
      <w:u w:val="single"/>
    </w:rPr>
  </w:style>
  <w:style w:type="character" w:customStyle="1" w:styleId="alignparentspan">
    <w:name w:val="alignparentspan"/>
    <w:basedOn w:val="DefaultParagraphFont"/>
    <w:rsid w:val="00DF7551"/>
  </w:style>
  <w:style w:type="character" w:customStyle="1" w:styleId="alignchildspan">
    <w:name w:val="alignchildspan"/>
    <w:basedOn w:val="DefaultParagraphFont"/>
    <w:rsid w:val="00DF7551"/>
  </w:style>
  <w:style w:type="character" w:customStyle="1" w:styleId="postlabelname">
    <w:name w:val="postlabelname"/>
    <w:basedOn w:val="DefaultParagraphFont"/>
    <w:rsid w:val="00DF7551"/>
  </w:style>
  <w:style w:type="character" w:customStyle="1" w:styleId="time">
    <w:name w:val="time"/>
    <w:basedOn w:val="DefaultParagraphFont"/>
    <w:rsid w:val="00DF7551"/>
  </w:style>
  <w:style w:type="paragraph" w:styleId="NormalWeb">
    <w:name w:val="Normal (Web)"/>
    <w:basedOn w:val="Normal"/>
    <w:uiPriority w:val="99"/>
    <w:semiHidden/>
    <w:unhideWhenUsed/>
    <w:rsid w:val="00DF75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F7551"/>
  </w:style>
  <w:style w:type="character" w:styleId="Emphasis">
    <w:name w:val="Emphasis"/>
    <w:basedOn w:val="DefaultParagraphFont"/>
    <w:uiPriority w:val="20"/>
    <w:qFormat/>
    <w:rsid w:val="00DF75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96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Clhoe</dc:creator>
  <cp:keywords/>
  <dc:description/>
  <cp:lastModifiedBy>Olive</cp:lastModifiedBy>
  <cp:revision>3</cp:revision>
  <dcterms:created xsi:type="dcterms:W3CDTF">2017-04-11T20:51:00Z</dcterms:created>
  <dcterms:modified xsi:type="dcterms:W3CDTF">2017-04-11T22:50:00Z</dcterms:modified>
</cp:coreProperties>
</file>