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rPr>
      </w:pPr>
      <w:r w:rsidDel="00000000" w:rsidR="00000000" w:rsidRPr="00000000">
        <w:rPr>
          <w:b w:val="1"/>
          <w:rtl w:val="0"/>
        </w:rPr>
        <w:t xml:space="preserve">The U.S. Upper Class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 ROM A CLASS PERSPECTIVE , the American upper class exhibits a class solidarity derived from the group awareness that they share a common fate. They consider one another equals, and their voting behavior in support of the Republican Party and their charitable efforts are the most obvious manifestations of their ability for joint action in the pursuit of common interests.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Those who are listed in the Social Register are chosen primarily for the style of life (and, implicitly, the system of values) they exhibit. The main purpose of the Social Register is to restrict social intercourse for the members by acting as a ready reference as to who is “in” and who is “out” of proper society. Although it is hard to confirm (because of the Social Register’s policy of not responding to inquiries), the Social Register strives to “confine normal marriage to within the status circle” by requiring members who marry outside the Register to resubmit themselves and their bride or groom for membership. And the Social Register is but one element of the upper class’s complete system of socialization. The American upper class has attempted to separate itself socially from the hoi polloi literally from birth to death—from favored maternity hospitals and attending physicians to specific retirement homes such as Dunwoody Village in Newtown Square, Pennsylvania, and Cathedral Village in Washington, D.C…. Between birth and retirement is a full array of socializing institutions: prep schools, Ivy League schools, debutante balls, and metropolitan clubs, to name a few.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upper-class families listed in the Social Register are direct descendants of the men who made great fortunes during the Gilded Age (1870–1910)…. The short-term and long-term economic success of the upper class is fundamentally important to maintaining the style of life that differentiates the upper class from the other classes in society. Once a family no longer has the economic resources to give its members the advantages that money can buy in the United States, the fall from social grace is swift and sure. The family that is reduced to “shabby gentility” is an often-used literary device that underlines the importance of liquid assets to continued good standing in American society.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men and women who defined late-nineteenth- and early-twentiethcentury American upper-class society were overwhelmingly white, Anglo-Saxon, and Protestant. As the personal, ethnic, and religious characteristics were unofficially codified, social and generational seasoning became equally important for acceptance into upper-class society. No amount of improperly socialized new money could buy its way into “proper” upper-class society….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If one subscribes to the Weberian theory that status is ultimately dependent on economic control and wealth, there are clear implications that the influence of white, Anglo-Saxon Protestants will inevitably decline in the twenty-first century. Although “WASP” and “upper class” have been synonymous in the past, it is apparent that the ethnic definition of upper class will be transformed and redefined in the future.</w:t>
      </w:r>
    </w:p>
    <w:p w:rsidR="00000000" w:rsidDel="00000000" w:rsidP="00000000" w:rsidRDefault="00000000" w:rsidRPr="00000000">
      <w:pPr>
        <w:pBdr/>
        <w:contextualSpacing w:val="0"/>
        <w:rPr/>
      </w:pPr>
      <w:r w:rsidDel="00000000" w:rsidR="00000000" w:rsidRPr="00000000">
        <w:rPr>
          <w:rtl w:val="0"/>
        </w:rPr>
        <w:t xml:space="preserve">The transformation, or de-WASPing, of the upper class that is now taking place in the United States is not easily evident to the casual observer. The status order will eventually reflect the economic order, although there are a multitude of cultural bulwarks that make the change slower and more subtle than [some] anticipate. There is a powerful WASP cultural inertia in the United States, and it will take decades to effect changes in the way Americans define themselves culturally. WASP culture is essentially derivative of the English nobility, and to this day, Anglophilia continues to pervade the American upper class. Because the upper class provides a value and consumptive role model for the American upper-middle class, upper-class values are in turn transmitted to the rest of American society—the upper-middle class being relatively large and visible to the rest of society….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The Elements of Upper-Class Cohesion</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American upper class has a large number of institutions and associational arrangement that have made it possible for members to pass through life with very little significant contact with other social classes. This section reviews the most important of these institutions: private boarding schools (prep schools), colleges, metropolitan and country clubs, and the Episcopal and Presbyterian churches. The role of debutante balls, service organizations, and charitable organizations as contributing factors in maintaining upper-class cohesion will also be explored. Finally, an in-depth look at the Social Register will examine the role of neighborhood and community in upper-class cohesiveness.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PRIVATE PREPARATORY SCHOOLS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Of all of the institutions that inculcate upper-class values, private preparatory schools may have the greatest role (Cookson and Persell 1985, 13–30). The role of private education begins with upper-class day schools. Baltzell, in his examination of the role of education, termed the local institutions provincial family surrogates in that their outlooks were local in nature (Baltzell 1958, 292–300). Baltzell chronicles the changing role and fortunes of the Protestant Episcopal Academy, the first educator of large numbers of Philadelphia’s young male upper class. The Episcopal Academy was founded in 1785 and began catering consciously to the upper class in 1846. The institution’s move in 1921 to the suburban Main Line in pursuit of its clientele maintained its primacy in Philadelphia. The Episcopal Academy was not without competitors, however; other day schools were Haverford, Penn Charter, and Chestnut Hill. There were also day schools (such as Springside, Shipley, and Agnes Irwin) for upper-class girls in Philadelphia that served the same socializing functions as the boys’ schools (Baltzell 1958, 300–301).</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day schools’ popularity began to wane in the second half of the nineteenth century as boarding schools became the preferred method of educating young upper-class men and women. Boarding schools made it possible to completely control the social and educational environment of the students (Cookson and Persell 1985, 31–48). Parents could be assured that their child would be raised away from the distractions of the large cities and their hordes of newly arrived aliens. The prep schools were staffed with teachers who could be relied on to transmit the values of the upper class. The WASP ethic of civility, honesty, principle, and service was imparted within a totally structured environment. The schools, particularly the Episcopalian schools, were modeled after the public schools of England, complete with “forms” for grades and “headmasters” for principals.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day schools increasingly turned to the nouveau riche to fill the slots left by the defections of some of their constituency. In his 1980 article, “The Rise of American Boarding Schools and the Development of a National Upper Class,” Levine writes that the original purpose of the schools was to protect the “old guard” of the upper class from the arrivistes, [the “newly arrived”—people who only recently became rich] with their newly minted family fortunes created during the last quarter of the nineteenth century. He theorizes that New England led the way in the creation of boarding schools as the Boston Brahmins reacted to their imminent social eclipse by the much larger fortunes the Gilded Age was producing. The elites of cities such as New York and Philadelphia were able to participate in the industrialization of America, whereas the Boston Brahmins, whose fortunes were grounded largely in the trade from the Far East, were not as effective in gaining a share of the new wealth. The boarding schools were but one of a series of institutions founded during this era to create social distance between old money and new money. Country clubs and metropolitan clubs were other examples. It was also during this time that books such as the Social Register and various blue books were published to provide a scorecard as to who was in and who was out of proper society.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More important than the social distancing function prep schools provide is the common socializing force they exert on young men and women of the upper class. C. Wright Mills felt that prep schools were an essential element in the calculus of preserving privilege. He wrote: classes and regulating the new admission of wealth and talent. It is the characterizing point in the upper-class experience. (Mills 1956, 64–65)</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Although upper-class schools were originally conceived to buffer the old guard from the nouveau riche, the need to infuse the upper class with new talent and money and the need to socialize the parvenus into the minutiae of upper-class culture led to the acceptance of some newly moneyed families. As sociologist Randall Collins notes, “Schools primarily teach vocabulary and inflection, styles of dress, aesthetic tastes, values and manners” (Collins 1971, 101). Levine’s 1980 study found that, in general, it took one generation to socialize upper-class fortunes. The sons of fathers who acquired large fortunes in the early twentieth century often placed their children in the most prestigious boarding schools. The fathers were not above building a new library or classroom building to ensure their son’s entrance. In most cases, the sons went on to Ivy League schools and became members of the upper-class secret societies and eating clubs. They were also likely to be listed in the Social Register . Gaining membership in upper-class secret societies and eating clubs would not present a problem because sponsorship would come easily from former schoolmates who were already members of the clubs.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Although there were literally hundreds of schools founded in the Gilded Age, a hierarchy of preferred schools quickly developed. At the top of the list in terms of prestige are the five Episcopalian boarding schools known collectively as St. Grottlesex (St. Paul’s, St. Mark’s, St. George’s, Groton, and Middlesex). St. Paul’s is often held up as the quintessential upper-class school (Domhoff 1983). Located in Concord, New Hampshire, it has a campus of eighty buildings (for six hundred students) and is situated on two thousand acres of woods and open land. In 1981, the student-faculty ratio was 6.3 to 1 and the average class size was twelve.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second group of prestigious prep schools is represented by Choate, Hotchkiss, and Kent—nondenominational schools that were founded specifically to cater to the burgeoning market for private, exclusive education at the turn of the century.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two oldest schools are usually put in a class by themselves. The Phillips Academy (commonly called Andover) and the Phillips Exeter Academy were founded originally to provide secondary education for a large array of students before the advent of the public school system. With the growth of the public school systems, Andover and Exeter became oriented strictly to preparing students for college. Both schools are larger and less aristocratic and have higher academic standards than the other boarding schools mentioned (Cookson and Persell 1985, 38).</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summary, boarding schools offered a place where the upper class could rest assured that class-supportive values would be instilled in their young. Their children would be exposed to only those nouveau riche children who were “acceptable” and to none of the perceived evils of the city. They would make valuable social and business friendships that would be nourished in college and in the world of private clubs during their adult lives.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 UPPER-CLASS COLLEGE EDUCATION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Just as there are preferred upper-class boarding schools to attend, there are preferred universities for young men and women of the upper class. The three universities that are considered most desirable by upper class parents are Harvard, Yale, and Princeton. These three are followed by any other schools in the Ivy League (Brown University has become increasingly popular among students) or any number of small prestigious schools located primarily in New England (for example, Williams, Amherst, or Trinity). If an upper-class family lives in a state with an academically prestigious public university, such as Wisconsin, Michigan, or California, it is increasingly considered appropriate to attend those universities. In addition, there are selected private regional universities that are considered acceptable as one’s first choice. Examples of these schools are Duke, Stanford, and Northwestern.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FRATERNITIES AND EATING CLUBS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Once a young man has been accepted at Harvard, Princeton, or Yale, he is confronted with a large university that is dominated in numbers, if not tone, by members of other social classes. The solution to the problem of having to mix with the upper-middle class (or worse) is a system of private clubs similar to the fraternities and sororities found on many American campuses. The system of private clubs is best described in the words of Baltzell: An intricate system of exclusive clubs, like the fraternities on less rarefied American campuses, serve to insulate the members of the upper class from the rest of the students at Harvard, Princeton, and Yale. There are virtually “two nations” at Harvard. The private-school boys, with their accents, final clubs, and Boston debutante parties—about one-fifth of the student body—stand aloof and apart from the ambitious, talented, and less polished boys who come to Cambridge each year from public schools over the nation. (Baltzell 1958, 329–330)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private eating clubs of Princeton were formed in the years following Woodrow Wilson’s 1906 ban on fraternities. Juniors and Seniors joined eating clubs that had a “pecking order” based on social status. Upper-class young men usually joined the Ivy Club or the Cottage Club. The exclusivity of the eating clubs ended in the 1960s when the university compelled the clubs to accept all who had applied but had not been accepted.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Harvard, Porcellian is the club of the most prestigious boarding schools such as St. Paul’s and Groton. Other social clubs that are notable but of slightly less status are A.D., Fly, Spee, Delphic, and Owl. Porcellian’s counterpart at Yale is the Fence Club. As at Harvard, there are a host of slightly prestigious clubs to join. Perhaps the senior societies are even more important than the social clubs at Yale. The two most important are the elite and meritorious Skull and Bones Club (of which former President George Bush is a member) and the more socially exclusive Scroll and Key Club. The purpose of these clubs is to build class solidarity and personal alliances that will be translated into lifetime friendships and business relationships at graduation (Baltzell 1958, 330–334).</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At each critical juncture of a young person’s life, the upper class has developed a series of supporting institutions to link individuals with a shared outlook and value system. By carefully molding young upper-class people into the established value system, the upper class assures its own continuity.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UPPER-CLASS WORLD OF PRIVATE CLUBS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 graduation, young men and women begin their careers with yet another array of private clubs that will act as an extended class-oriented family. One can differentiate between two types of private clubs, the metropolitan dining clubs and the more familiar suburban country clubs. Baltzell maintains that the metropolitan clubs are much more important than country clubs in terms of the social ascription of status.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Unlike the American middle classes, and resembling the lower classes, in fact, the Philadelphia upper class is largely male dominated and patriarchal. The social standing of the male family head, the best index of which is his metropolitan club affiliation, usually determines the social position of the family as a whole (Baltzell 1958, 336).</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first American metropolitan club, following the British experience with such clubs, grew out of an informal gathering of the leading citizens to discuss daily affairs over coffee. In the days before reliable newspapers, it was a way to pass on news and keep informed of current events. The first club formed in the United States was the Philadelphia Club in 1835.</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was closely followed by the Union Club of New York City, which was founded in 1836 (Baltzell 1958, 335–363). The metropolitan club subculture, with its distinctive mores and value rituals, was perceptively outlined by Wecter: The social club in America has done a great deal to keep alive the gentleman in the courtly sense. Here is a peculiar asylum from the Pandemonium of commerce, the bumptiousness of democracy, and the feminism of his own household. Here he is technically invisible from the critical female eye—a state of bliss reflected in the convention that a gentleman never bows to a lady from a club window and does not, according to best form, discuss ladies there. The club is the Great Good Place with its comfortable and slightly shabby leather chairs, the pleasant malt-like effluvium of its bar, the newspaper room with a club servant to repair quickly the symptoms of disarray, the catholicity of magazines from highbrows to La Vie Parisienne which in less stately company would seem a trifle sophomoric, the abundant newspaper, the good cigars and hearty carnivorous menus….</w:t>
      </w:r>
    </w:p>
    <w:p w:rsidR="00000000" w:rsidDel="00000000" w:rsidP="00000000" w:rsidRDefault="00000000" w:rsidRPr="00000000">
      <w:pPr>
        <w:pBdr/>
        <w:contextualSpacing w:val="0"/>
        <w:rPr/>
      </w:pPr>
      <w:r w:rsidDel="00000000" w:rsidR="00000000" w:rsidRPr="00000000">
        <w:rPr>
          <w:rtl w:val="0"/>
        </w:rPr>
        <w:t xml:space="preserve">With what Henry James called “a certain light of fine old gentlemenly prejudice to guide it,” the preeminently social club welcomes the serious frivolity of horses, hounds, foxes, and boats, but not the effeminate frivolity of aestheticism. Pedantry is also frowned upon; except for the Social Register , the World Almanac , and Lloyd’s Register of American Yachts , not a volume in the club library has been taken down since the cross-word puzzle craze. It is comforting to think that one’s sons and grandsons will sit in these same chairs, and firelight will flicker on the same steel engravings and oil portraits of past presidents—and though the stars may wheel in their courses and crowned heads totter to the guillotine, this little world will remain, so long as first mortgages and government bonds endure. (Wecter 1937, 253–255)</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evocative description of metropolitan clubs was written in 1937 and is dated in some details but still accurate in its main thrust.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have been several recent legal challenges to the all-male membership policies of metropolitan clubs. The Supreme Court has ruled against the males-only policies of the clubs. The main argument made by female complainants was that women are excluded from important business transactions that are discussed in the clubs. Aldrich maintains that the women’s victory will be mainly Pyrrhic because it is considered extremely bad form to discuss business in metropolitan clubs (Aldrich 1988, 122–123). However, Aldrich does not address the valuable alliances made in leisure that lead to business deals later, outside the confines of the club.</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suburban country club is less important than the metropolitan club, but it is significant in that the entire family are members and there are facilities and activities for all. The first American country club was established in 1882 in Brookline, Massachusetts; it is simply called The Country Club. These clubs are most frequently associated with golf, but they may include facilities for swimming, tennis, and, in some cases, polo. Americans are familiar with suburban country clubs, which have been enthusiastically established by the upper-middle class throughout the country.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As in the case of the metropolitan clubs, there is a status hierarchy among the country clubs. Because of the relatively small number of upper-class families, upper-class country clubs make up only a small portion of the private equity country clubs in the United States.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Yacht clubs are also an integral part of upper-class social life. Again, only a select few of the yacht clubs in America are favored by the American upper class. Similarly, there are a large number of historically oriented clubs, such as the well-known Daughters of the American Revolution and more obscure clubs such as the American Association of the Sovereign Military Order of Malta.</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RELIGION AND THE UPPER CLASS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Observers of the American scene have long commented on the status differentiation of Protestant denominations. The upper class has had a long association with the Protestant Episcopal Church and to a lesser degree with the Presbyterian Church. The Episcopalian connection is a logical extension of the Anglophilia of the American upper class because the church has a number of characteristics that make it attractive to upper-class men and women. The richness of the church’s ritual, the classic traditionalism of most Episcopalian architecture, and the sophisticated, urbane, and intellectual nature of its leaders have great appeal to the upper class (Cookson and Persell 1985, 44–48). The Episcopalian Church was very close to an established church for some parts of colonial America and was, in fact, the established church of the state of Virginia until 1786. Although the church suffered during and immediately following the Revolutionary War because of its close association with England and her Loyalists, it quickly recovered its status as a church of the educated elite in the postwar period.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Baltzell confirmed the alliance statistically by analyzing the church membership of those people in the upper class who were in both the 1940 edition of Who’s Who in America and the 1940 Philadelphia Social Register. Who’s Who’ s listing of church membership enabled Baltzell to determine religious affiliation for 226 upper-class heads of households. Although 35 percent did not acknowledge a church membership, 42 percent were affiliated with the Episcopalian Church (compared with 1.0 percent of the total U.S. population). An additional 13 percent of those in Who’s Who listed the Presbyterian Church as their place of worship (compared to 1.2 percent of the general population). Because of the general privacy of religious information, it is difficult to verify Baltzell’s findings. However, it is fair to say that the subjective information on the relationship is indeed overwhelming. Of course, not all Episcopalians are upper class. The actual number of upper-class families within the church is small compared to the total membership of Episcopalian churches; however, the church carries the distinctive imprint of upper-class support, philanthropy, and values.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DEBUTANTE BALLS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debutante season consists of a series of parties, teas, and dances held by upper-class families to formally announce the arrival and availability of their daughters for suitable matrimonial partners. Each major city holds a grand ball that is the highlight of the season. Debutante “coming-out” parties are yet another means of reinforcing class solidarity because the young women and men who participate are carefully screened to ensure upper-class exclusivity. Because upper-class endogamy is highly valued, the debutante season is a formal process, the sole purpose of which is to encourage and create upper-class familial unions. Although there is often a philanthropic cause behind the tens of thousands of dollars spent for each coming out, none of the participants are under any illusion as to the real purpose behind the festivities. The debutante season strengthens the bonds of intermetropolitan upper-class social relationships just as shared summer resort holidays strengthen intermetropolitan alliances.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SOCIAL REGISTER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Before the Civil War, “society” in most large American cities, including New York City, was small enough that members of the upper class knew each other informally. Invitations to balls and other “serious” social events were handled either by personal secretaries or by the hostess herself. There were also self-appointed social arbiters whose dictates could help the unsure hostess in determining who was “in” and who was “out” of society.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role of individual society kingmakers would soon be eclipsed with the appearance of the first Social Register in 1886. Hundreds of new fortunes were being made (and lost) during the last two decades of the nineteenth century, and a book was needed to take the place of personal knowledge as to a family’s acceptability in polite society.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first edition of the Social Register was a listing of society in Newport, Rhode Island. The next year, 1887, saw the first appearance of the New York City edition. It has been published continuously ever since that date. The Social Register was not the first of its kind; there were many books that purported to list society in the 1880s. The secret of success for the founder, Louis Keller, was the quality of his list and his refusal to clutter the book with advertisements for wine merchants, dressmakers, and the like.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Another component of Keller’s success was a strict code of secrecy that has been conscientiously maintained to the present. The all-enveloping veil of secrecy has given the book a mystique that has made it all the more alluring to those who aspire to join. The aura of exclusivity is enhanced by the Social Register’s policy of rarely speaking to the press or publicly commenting on itself in any way.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Keller incorporated his idea as the Social Register Association; new editions quickly followed the New York City volume in Philadelphia and Boston (1890), Baltimore (1892), Chicago (1893), Washington, D.C. (1903), St. Louis and Buffalo (1903), Pittsburgh (1904), San Francisco (1906), and Cleveland and Cincinnati-Dayton (1910). At its height in the 1920s, there were 24 volumes. Many of these editions failed during the Great Depression because of the lack of a large and sophisticated industrial elite and/or insufficient interest on the part of the local population. This would explain the absence of a large number of Social Register families from Detroit, a city that made its fortune in the 1920s, and the three post–World War II growth centers of Dallas, Houston, and Los Angeles. The families that dominate the Social Register were created during the Gilded Age, and the sunbelt families would have to wait for their generational acculturation into upper-class mores.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Social Register has remained the only social listing for the thirteen cities listed above since 1939. In 1977, the twelve editions were combined into one large book—a reflection of the national solidarity of the upper class and also of cost considerations (Birmingham 1978). The Social Register has subsequently become an address and telephone book for the American upper class. Along with this basic information, the Register also lists which boarding school and which university members attended, the year in which he or she graduated, and their club memberships. Members may also list their children and the schools they are attending or their current addresses. It has several useful appendices: “Married Maidens,” a listing of the maiden names of the wives (very helpful in a divorce-prone culture), and “Dilatory Domiciles,” for those who are late in returning their annual questionnaires. There is also a separate volume published each summer called the Summer Social Register . The summer edition lists summer homes and also has a yacht registry that lists the home port, tonnage, and year built for each yacht. As the upper class has added winter homes in the post–World War II period, they have tended to list those addresses in the main Social Register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Getting into the Social Register and being dropped from the book have been subjects of endless speculation among the upper class and among gossip columnists. The best term to describe the process is idiosyncratic . There are three methods for obtaining membership. The most likely way to get in is to be born into it. The second is to marry into a listed family. However, a new bride or groom who is not in the Register must submit a new application to be accepted or rejected (without comment) by the “advisory committee.” (The makeup of the committee has been the subject of much speculation, and some have questioned if there really is one.) The third way to gain a listing in the Social Register is to apply for membership. The prospective member fills out an application and if it passes initial review, he or she must then supply the committee with four or five recommendations from current listees. The application then goes to the advisory committee and the applicant is either accepted or rejected without comment. It is believed that the number that gain membership through this process is extremely limited (Winfrey 1980).</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Even the ownership of the Social Register is veiled in mystery. When Keller died in 1924, he left the Association to several heirs. It was purchased by Malcolm Forbes in 1977 and remained in his family after his death in 1989, but who actually owns it is not known.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reasons why members are dropped from the Social Register has also been the subject of much musing. Perhaps the surest way to guarantee elimination is to publicly disparage the Social Register or to be publicly disgraced. As long as one’s personal foibles do not become public knowledge, one seems to be immune from being dropped. Another way to be banished is to marry an entertainer—one of the many groups of people who are personae non gratae in the Social Register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largest groups that are systematically excluded from the Social Register are Jews, African Americans, and Asian Americans. Although there are one known Black and several Jewish members, the Social Register remains a compendium that is overwhelming white, Anglo-Saxon, and Protestant American ( Newsday , December 12, 1984, 10–11). A small percentage of the listees have French and Dutch surnames, but it is a challenge to find German, Scandinavian, or southern European surnames anywhere in the Social Register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There are members of the upper class who have asked to have their names removed from the Social Register because of the Register’ s discriminatory practices. Alfred Gwynne Vanderbilt and “Jock” Whitney were among the notable society people who asked to be deleted. It is politically astute for politicians to request that their names be deleted. George Bush had his name deleted before he received his complimentary listings as vice president and president. Former presidents and the chief justice of the Supreme Court are also given complimentary listings. There are many retired senators who are listed once it is “safe” to be associated with an organization that is so blatant in its discrimination.</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