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7E" w:rsidRDefault="000E2D7E">
      <w:bookmarkStart w:id="0" w:name="_GoBack"/>
      <w:bookmarkEnd w:id="0"/>
    </w:p>
    <w:p w:rsidR="000E2D7E" w:rsidRPr="000E2D7E" w:rsidRDefault="000E2D7E" w:rsidP="000E2D7E">
      <w:hyperlink r:id="rId5" w:anchor="ch15" w:history="1">
        <w:r w:rsidRPr="000E2D7E">
          <w:rPr>
            <w:rStyle w:val="Hyperlink"/>
          </w:rPr>
          <w:t>15</w:t>
        </w:r>
      </w:hyperlink>
    </w:p>
    <w:p w:rsidR="000E2D7E" w:rsidRPr="000E2D7E" w:rsidRDefault="000E2D7E" w:rsidP="000E2D7E">
      <w:hyperlink r:id="rId6" w:anchor="ch15" w:history="1">
        <w:r w:rsidRPr="000E2D7E">
          <w:rPr>
            <w:rStyle w:val="Hyperlink"/>
          </w:rPr>
          <w:t>The Forms of Capital</w:t>
        </w:r>
      </w:hyperlink>
      <w:hyperlink r:id="rId7" w:anchor="note1" w:history="1">
        <w:r w:rsidRPr="000E2D7E">
          <w:rPr>
            <w:rStyle w:val="Hyperlink"/>
            <w:vertAlign w:val="superscript"/>
          </w:rPr>
          <w:t>1</w:t>
        </w:r>
      </w:hyperlink>
    </w:p>
    <w:p w:rsidR="000E2D7E" w:rsidRPr="000E2D7E" w:rsidRDefault="000E2D7E" w:rsidP="000E2D7E">
      <w:r w:rsidRPr="000E2D7E">
        <w:rPr>
          <w:i/>
          <w:iCs/>
        </w:rPr>
        <w:t>Pierre Bourdieu</w:t>
      </w:r>
    </w:p>
    <w:p w:rsidR="000E2D7E" w:rsidRPr="000E2D7E" w:rsidRDefault="000E2D7E" w:rsidP="000E2D7E">
      <w:r w:rsidRPr="000E2D7E">
        <w:t xml:space="preserve">THE SOCIAL WORLD IS accumulated history, and if it is not to be reduced to a discontinuous series of instantaneous mechanical equilibria between agents who are treated as interchangeable particles, one must reintroduce into it the notion of capital and with it, accumulation and all its effects. Capital is accumulated labor (in its materialized form or its “incorporated,” embodied form) which, when appropriated on a private, i.e., exclusive, basis by agents or groups of agents, enables them to appropriate social energy in the form of reified or living labor. It is a </w:t>
      </w:r>
      <w:r w:rsidRPr="000E2D7E">
        <w:rPr>
          <w:i/>
          <w:iCs/>
        </w:rPr>
        <w:t xml:space="preserve">vis </w:t>
      </w:r>
      <w:proofErr w:type="spellStart"/>
      <w:r w:rsidRPr="000E2D7E">
        <w:rPr>
          <w:i/>
          <w:iCs/>
        </w:rPr>
        <w:t>insita</w:t>
      </w:r>
      <w:proofErr w:type="spellEnd"/>
      <w:r w:rsidRPr="000E2D7E">
        <w:t xml:space="preserve">, a force inscribed in objective or subjective structures, but it is also a </w:t>
      </w:r>
      <w:proofErr w:type="spellStart"/>
      <w:r w:rsidRPr="000E2D7E">
        <w:rPr>
          <w:i/>
          <w:iCs/>
        </w:rPr>
        <w:t>lex</w:t>
      </w:r>
      <w:proofErr w:type="spellEnd"/>
      <w:r w:rsidRPr="000E2D7E">
        <w:rPr>
          <w:i/>
          <w:iCs/>
        </w:rPr>
        <w:t xml:space="preserve"> </w:t>
      </w:r>
      <w:proofErr w:type="spellStart"/>
      <w:r w:rsidRPr="000E2D7E">
        <w:rPr>
          <w:i/>
          <w:iCs/>
        </w:rPr>
        <w:t>insita</w:t>
      </w:r>
      <w:proofErr w:type="spellEnd"/>
      <w:r w:rsidRPr="000E2D7E">
        <w:t>, the principle underlying the immanent regularities of the social world. It is what makes the games of society—not least, the economic game—something other than simple games of chance offering at every moment the possibility of a miracle. Roulette, which holds out the opportunity of winning a lot of money in a short space of time, and therefore of changing one’s social status quasi-instantaneously, and in which the winning of the previous spin of the wheel can be staked and lost at every new spin, gives a fairly accurate image of this imaginary universe of perfect competition or perfect equality of opportunity, a world without inertia, without accumulation, without heredity or acquired properties, in which every moment is perfectly independent of the previous one, every soldier has a marshal’s baton in his knapsack, and every prize can be attained, instantaneously, by everyone, so that at each moment anyone can become anything. Capital, which, in its objectified or embodied forms, takes time to accumulate and which, as a potential capacity to produce profits and to reproduce itself in identical or expanded form, contains a tendency to persist in its being, is a force inscribed in the objectivity of things so that everything is not equally possible or impossible.</w:t>
      </w:r>
      <w:hyperlink r:id="rId8" w:anchor="note2" w:history="1">
        <w:r w:rsidRPr="000E2D7E">
          <w:rPr>
            <w:rStyle w:val="Hyperlink"/>
            <w:vertAlign w:val="superscript"/>
          </w:rPr>
          <w:t>2</w:t>
        </w:r>
      </w:hyperlink>
      <w:r w:rsidRPr="000E2D7E">
        <w:t xml:space="preserve"> And the structure of the distribution of the different types and subtypes of capital at a given moment in time represents the immanent structure of the social world, i.e., the set of constraints, inscribed in the very reality of that world, which govern its functioning in a durable way, determining the chances of success for practices.</w:t>
      </w:r>
    </w:p>
    <w:p w:rsidR="000E2D7E" w:rsidRPr="000E2D7E" w:rsidRDefault="000E2D7E" w:rsidP="000E2D7E">
      <w:r w:rsidRPr="000E2D7E">
        <w:t xml:space="preserve">It is in fact impossible to account for the structure and functioning of the social world unless one reintroduces capital in all its forms and not solely in the one form recognized by economic theory. Economic theory has allowed to be foisted upon it a definition of the economy of practices which is the historical invention of capitalism; and by reducing the universe of exchanges to mercantile exchange, which is objectively and subjectively oriented toward the maximization of profit, i.e., (economically) </w:t>
      </w:r>
      <w:r w:rsidRPr="000E2D7E">
        <w:rPr>
          <w:i/>
          <w:iCs/>
        </w:rPr>
        <w:t>self-interested</w:t>
      </w:r>
      <w:r w:rsidRPr="000E2D7E">
        <w:t xml:space="preserve">, it has implicitly defined the other forms of exchange as noneconomic, and therefore </w:t>
      </w:r>
      <w:r w:rsidRPr="000E2D7E">
        <w:rPr>
          <w:i/>
          <w:iCs/>
        </w:rPr>
        <w:t>disinterested</w:t>
      </w:r>
      <w:r w:rsidRPr="000E2D7E">
        <w:t xml:space="preserve">. In particular, it defines as disinterested those forms of exchange which ensure the </w:t>
      </w:r>
      <w:r w:rsidRPr="000E2D7E">
        <w:rPr>
          <w:i/>
          <w:iCs/>
        </w:rPr>
        <w:t>transubstantiation</w:t>
      </w:r>
      <w:r w:rsidRPr="000E2D7E">
        <w:t xml:space="preserve"> whereby the most material types of capital—those which are economic in the restricted sense—can present themselves in the immaterial form of cultural capital or social capital and vice versa. Interest; in the restricted sense it is given in economic theory, cannot be produced without producing its negative counterpart, disinterestedness. The class of practices whose explicit purpose is to maximize monetary profit cannot be defined as such without producing the purposeless finality of cultural or artistic practices and their products; the world of bourgeois man, with his double-entry accounting, cannot be invented without producing the pure, perfect universe of the artist and the intellectual and the gratuitous activities of art-for-art’s sake and pure theory. In other words, the </w:t>
      </w:r>
      <w:r w:rsidRPr="000E2D7E">
        <w:lastRenderedPageBreak/>
        <w:t>constitution of a science of mercantile relationships which, inasmuch as it takes for granted the very foundations of the order it claims to analyze—private property, profit, wage labor, etc.—is not even a science of the field of economic production, has prevented the constitution of a general science of the economy of practices, which would treat mercantile exchange as a particular case of exchange in all its forms.</w:t>
      </w:r>
    </w:p>
    <w:p w:rsidR="000E2D7E" w:rsidRPr="000E2D7E" w:rsidRDefault="000E2D7E" w:rsidP="000E2D7E">
      <w:r w:rsidRPr="000E2D7E">
        <w:t xml:space="preserve">It is remarkable that the practices and assets thus salvaged from the “icy water of egotistical calculation” (and from science) are the virtual monopoly of the dominant class—as if </w:t>
      </w:r>
      <w:proofErr w:type="spellStart"/>
      <w:r w:rsidRPr="000E2D7E">
        <w:t>economism</w:t>
      </w:r>
      <w:proofErr w:type="spellEnd"/>
      <w:r w:rsidRPr="000E2D7E">
        <w:t xml:space="preserve"> had been able to reduce everything to economics only because the reduction on which that discipline is based protects from sacrilegious reduction everything which needs to be protected. If economics deals only with practices that have narrowly economic interest as their principle and only with goods that are directly and immediately convertible into money (which makes them quantifiable), then the universe of bourgeois production and exchange becomes an exception and can see itself and present itself as a realm of disinterestedness. As everyone knows, priceless things have their price, and the extreme difficulty of converting certain practices and certain objects into money is only due to the fact that this conversion is refused in the very intention that produces them, which is nothing other than the denial (</w:t>
      </w:r>
      <w:proofErr w:type="spellStart"/>
      <w:r w:rsidRPr="000E2D7E">
        <w:rPr>
          <w:i/>
          <w:iCs/>
        </w:rPr>
        <w:t>Verneinung</w:t>
      </w:r>
      <w:proofErr w:type="spellEnd"/>
      <w:r w:rsidRPr="000E2D7E">
        <w:t xml:space="preserve">) of the economy. A general science of the economy of practices, capable of </w:t>
      </w:r>
      <w:proofErr w:type="spellStart"/>
      <w:r w:rsidRPr="000E2D7E">
        <w:t>reappropriating</w:t>
      </w:r>
      <w:proofErr w:type="spellEnd"/>
      <w:r w:rsidRPr="000E2D7E">
        <w:t xml:space="preserve"> the totality of the practices which, although objectively economic, are not and cannot be socially recognized as economic, and which can be performed only at the cost of a whole labor of dissimulation or, more precisely, </w:t>
      </w:r>
      <w:proofErr w:type="spellStart"/>
      <w:r w:rsidRPr="000E2D7E">
        <w:rPr>
          <w:i/>
          <w:iCs/>
        </w:rPr>
        <w:t>euphemization</w:t>
      </w:r>
      <w:proofErr w:type="spellEnd"/>
      <w:r w:rsidRPr="000E2D7E">
        <w:t>, must endeavor to grasp capital and profit in all their forms and to establish the laws whereby the different types of capital (or power, which amounts to the same thing) change into one another.</w:t>
      </w:r>
      <w:hyperlink r:id="rId9" w:anchor="note3" w:history="1">
        <w:r w:rsidRPr="000E2D7E">
          <w:rPr>
            <w:rStyle w:val="Hyperlink"/>
            <w:vertAlign w:val="superscript"/>
          </w:rPr>
          <w:t>3</w:t>
        </w:r>
      </w:hyperlink>
    </w:p>
    <w:p w:rsidR="000E2D7E" w:rsidRPr="000E2D7E" w:rsidRDefault="000E2D7E" w:rsidP="000E2D7E">
      <w:r w:rsidRPr="000E2D7E">
        <w:t xml:space="preserve">Depending on the field in which it functions, and at the cost of the more or less expensive transformations which are the precondition for its efficacy in the field in question, capital can present itself in three fundamental guises: as </w:t>
      </w:r>
      <w:r w:rsidRPr="000E2D7E">
        <w:rPr>
          <w:i/>
          <w:iCs/>
        </w:rPr>
        <w:t>economic capital</w:t>
      </w:r>
      <w:r w:rsidRPr="000E2D7E">
        <w:t xml:space="preserve">, which is immediately and directly convertible into money and may be institutionalized in the form of property rights; as </w:t>
      </w:r>
      <w:r w:rsidRPr="000E2D7E">
        <w:rPr>
          <w:i/>
          <w:iCs/>
        </w:rPr>
        <w:t>cultural capital</w:t>
      </w:r>
      <w:r w:rsidRPr="000E2D7E">
        <w:t xml:space="preserve">, which is convertible, on certain conditions, into economic capital and may be institutionalized in the form of educational qualifications; and as </w:t>
      </w:r>
      <w:r w:rsidRPr="000E2D7E">
        <w:rPr>
          <w:i/>
          <w:iCs/>
        </w:rPr>
        <w:t>social capital</w:t>
      </w:r>
      <w:r w:rsidRPr="000E2D7E">
        <w:t>, made up of social obligations (“connections”), which is convertible, in certain conditions, into economic capital and may be institutionalized in the form of a title of nobility.</w:t>
      </w:r>
      <w:hyperlink r:id="rId10" w:anchor="note4" w:history="1">
        <w:r w:rsidRPr="000E2D7E">
          <w:rPr>
            <w:rStyle w:val="Hyperlink"/>
            <w:vertAlign w:val="superscript"/>
          </w:rPr>
          <w:t>4</w:t>
        </w:r>
      </w:hyperlink>
    </w:p>
    <w:p w:rsidR="000E2D7E" w:rsidRPr="000E2D7E" w:rsidRDefault="000E2D7E" w:rsidP="000E2D7E">
      <w:r w:rsidRPr="000E2D7E">
        <w:rPr>
          <w:b/>
          <w:bCs/>
        </w:rPr>
        <w:t>CULTURAL CAPITAL</w:t>
      </w:r>
    </w:p>
    <w:p w:rsidR="000E2D7E" w:rsidRPr="000E2D7E" w:rsidRDefault="000E2D7E" w:rsidP="000E2D7E">
      <w:r w:rsidRPr="000E2D7E">
        <w:t xml:space="preserve">Cultural capital can exist in three forms: in the </w:t>
      </w:r>
      <w:r w:rsidRPr="000E2D7E">
        <w:rPr>
          <w:i/>
          <w:iCs/>
        </w:rPr>
        <w:t>embodied</w:t>
      </w:r>
      <w:r w:rsidRPr="000E2D7E">
        <w:t xml:space="preserve"> state, i.e., in the form of long-lasting dispositions of the mind and body; in the </w:t>
      </w:r>
      <w:r w:rsidRPr="000E2D7E">
        <w:rPr>
          <w:i/>
          <w:iCs/>
        </w:rPr>
        <w:t>objectified</w:t>
      </w:r>
      <w:r w:rsidRPr="000E2D7E">
        <w:t xml:space="preserve"> state, in the form of cultural goods (pictures, books, dictionaries, instruments, machines, etc.), which are the trace or realization of theories or critiques of these theories, problematics, etc.; and in the </w:t>
      </w:r>
      <w:r w:rsidRPr="000E2D7E">
        <w:rPr>
          <w:i/>
          <w:iCs/>
        </w:rPr>
        <w:t>institutionalized</w:t>
      </w:r>
      <w:r w:rsidRPr="000E2D7E">
        <w:t xml:space="preserve"> state, a form of objectification which must be set apart because, as will be seen in the case of educational qualifications, it confers entirely original properties on the cultural capital which it is presumed to guarantee.</w:t>
      </w:r>
    </w:p>
    <w:p w:rsidR="000E2D7E" w:rsidRPr="000E2D7E" w:rsidRDefault="000E2D7E" w:rsidP="000E2D7E">
      <w:r w:rsidRPr="000E2D7E">
        <w:t xml:space="preserve">The reader should not be misled by the some-what peremptory air which the effort at </w:t>
      </w:r>
      <w:proofErr w:type="spellStart"/>
      <w:r w:rsidRPr="000E2D7E">
        <w:t>axiomization</w:t>
      </w:r>
      <w:proofErr w:type="spellEnd"/>
      <w:r w:rsidRPr="000E2D7E">
        <w:t xml:space="preserve"> may give to my argument.</w:t>
      </w:r>
      <w:hyperlink r:id="rId11" w:anchor="note5" w:history="1">
        <w:r w:rsidRPr="000E2D7E">
          <w:rPr>
            <w:rStyle w:val="Hyperlink"/>
            <w:vertAlign w:val="superscript"/>
          </w:rPr>
          <w:t>5</w:t>
        </w:r>
      </w:hyperlink>
      <w:r w:rsidRPr="000E2D7E">
        <w:t xml:space="preserve"> The notion of cultural capital initially presented itself to me, in the course of research, as a theoretical hypothesis which made it possible to explain the unequal scholastic achievement of children originating from the different social classes by relating academic success, i.e., the specific profits which children from the different classes and class fractions can obtain in the academic market, to the distribution of cultural capital between the classes and class fractions. This </w:t>
      </w:r>
      <w:r w:rsidRPr="000E2D7E">
        <w:lastRenderedPageBreak/>
        <w:t xml:space="preserve">starting point implies a break with the pre-suppositions inherent both in the commonsense view, which sees academic success or failure as an effect of natural aptitudes, and in human capital theories. Economists might seem to deserve credit for explicitly raising the question of the relationship between the rates of profit on educational investment and on economic investment (and its evolution). But their measurement of the yield from scholastic investment takes account only of </w:t>
      </w:r>
      <w:r w:rsidRPr="000E2D7E">
        <w:rPr>
          <w:i/>
          <w:iCs/>
        </w:rPr>
        <w:t>monetary</w:t>
      </w:r>
      <w:r w:rsidRPr="000E2D7E">
        <w:t xml:space="preserve"> investments and profits, or those directly convertible into money, such as the costs of schooling and the cash equivalent of time devoted to study; they are unable to explain the different proportions of their resources which different agents or different social classes allocate to economic investment and cultural investment because they fail to take systematic account of the structure of the differential chances of profit which the various markets offer these agents or classes as a function of the volume and the composition of their assets (see esp. Becker 1964b). Furthermore, because they neglect to relate scholastic investment strategies to the whole set of educational strategies and to the system of reproduction strategies, they inevitably, by a necessary paradox, let slip the best hidden and socially most determinant educational investment, namely, the domestic transmission of cultural capital. Their studies of the relationship between academic ability and academic investment show that they are unaware that ability or talent is itself the product of an investment of time and cultural capital (Becker 1964a, pp. 63–66). Not surprisingly, when endeavoring to evaluate the profits of scholastic investment, they can only consider the profitability of educational expenditure for society as a whole, the “social rate of return,” or the “social gain of education as measured by its effects on national productivity” (Becker 1964b, pp. 121, 155). This typically functionalist definition of the functions of education ignores the contribution which the educational system makes to the reproduction of the social structure by sanctioning the hereditary transmission of cultural capital. From the very beginning, a definition of human capital, despite its humanistic connotations, does not move beyond </w:t>
      </w:r>
      <w:proofErr w:type="spellStart"/>
      <w:r w:rsidRPr="000E2D7E">
        <w:t>economism</w:t>
      </w:r>
      <w:proofErr w:type="spellEnd"/>
      <w:r w:rsidRPr="000E2D7E">
        <w:t xml:space="preserve"> and ignores, </w:t>
      </w:r>
      <w:r w:rsidRPr="000E2D7E">
        <w:rPr>
          <w:i/>
          <w:iCs/>
        </w:rPr>
        <w:t>inter alia</w:t>
      </w:r>
      <w:r w:rsidRPr="000E2D7E">
        <w:t>, the fact that the scholastic yield from educational action depends on the cultural capital previously invested by the family. Moreover, the economic and social yield of the educational qualification depends on the social capital, again inherited, which can be used to back it up.</w:t>
      </w:r>
    </w:p>
    <w:p w:rsidR="000E2D7E" w:rsidRPr="000E2D7E" w:rsidRDefault="000E2D7E" w:rsidP="000E2D7E">
      <w:r w:rsidRPr="000E2D7E">
        <w:rPr>
          <w:i/>
          <w:iCs/>
        </w:rPr>
        <w:t>The Embodied State</w:t>
      </w:r>
      <w:r w:rsidRPr="000E2D7E">
        <w:t xml:space="preserve">. Most of the properties of cultural capital can be deduced from the fact that, in its fundamental state, it is linked to the body and presupposes embodiment. The accumulation of cultural capital in the embodied state, i.e., in the form of what is called culture, cultivation, </w:t>
      </w:r>
      <w:proofErr w:type="spellStart"/>
      <w:r w:rsidRPr="000E2D7E">
        <w:rPr>
          <w:i/>
          <w:iCs/>
        </w:rPr>
        <w:t>Bildung</w:t>
      </w:r>
      <w:proofErr w:type="spellEnd"/>
      <w:r w:rsidRPr="000E2D7E">
        <w:t>, presupposes a process of embodiment, incorporation, which, insofar as it implies a labor of inculcation and assimilation, costs time, time which must be invested personally by the investor. Like the acquisition of a muscular physique or a suntan, it cannot be done at second hand (so that all effects of delegation are ruled out).</w:t>
      </w:r>
    </w:p>
    <w:p w:rsidR="000E2D7E" w:rsidRPr="000E2D7E" w:rsidRDefault="000E2D7E" w:rsidP="000E2D7E">
      <w:r w:rsidRPr="000E2D7E">
        <w:t>The work of acquisition is work on oneself (self-improvement), an effort that presupposes a personal cost (</w:t>
      </w:r>
      <w:r w:rsidRPr="000E2D7E">
        <w:rPr>
          <w:i/>
          <w:iCs/>
        </w:rPr>
        <w:t xml:space="preserve">on </w:t>
      </w:r>
      <w:proofErr w:type="spellStart"/>
      <w:r w:rsidRPr="000E2D7E">
        <w:rPr>
          <w:i/>
          <w:iCs/>
        </w:rPr>
        <w:t>paie</w:t>
      </w:r>
      <w:proofErr w:type="spellEnd"/>
      <w:r w:rsidRPr="000E2D7E">
        <w:rPr>
          <w:i/>
          <w:iCs/>
        </w:rPr>
        <w:t xml:space="preserve"> de </w:t>
      </w:r>
      <w:proofErr w:type="spellStart"/>
      <w:r w:rsidRPr="000E2D7E">
        <w:rPr>
          <w:i/>
          <w:iCs/>
        </w:rPr>
        <w:t>sa</w:t>
      </w:r>
      <w:proofErr w:type="spellEnd"/>
      <w:r w:rsidRPr="000E2D7E">
        <w:rPr>
          <w:i/>
          <w:iCs/>
        </w:rPr>
        <w:t xml:space="preserve"> </w:t>
      </w:r>
      <w:proofErr w:type="spellStart"/>
      <w:r w:rsidRPr="000E2D7E">
        <w:rPr>
          <w:i/>
          <w:iCs/>
        </w:rPr>
        <w:t>personne</w:t>
      </w:r>
      <w:proofErr w:type="spellEnd"/>
      <w:r w:rsidRPr="000E2D7E">
        <w:t xml:space="preserve">, as we say in French), an investment, above all of time, but also of that socially constituted form of libido, </w:t>
      </w:r>
      <w:r w:rsidRPr="000E2D7E">
        <w:rPr>
          <w:i/>
          <w:iCs/>
        </w:rPr>
        <w:t xml:space="preserve">libido </w:t>
      </w:r>
      <w:proofErr w:type="spellStart"/>
      <w:r w:rsidRPr="000E2D7E">
        <w:rPr>
          <w:i/>
          <w:iCs/>
        </w:rPr>
        <w:t>sciendi</w:t>
      </w:r>
      <w:proofErr w:type="spellEnd"/>
      <w:r w:rsidRPr="000E2D7E">
        <w:t>, with all the privation, renunciation, and sacrifice that it may entail. It follows that the least inexact of all the measurements of cultural capital are those which take as their standard the length of acquisition—so long, of course, as this is not reduced to length of schooling and allowance is made for early domestic education by giving it a positive value (a gain in time, a head start) or a negative value (wasted time, and doubly so because more time must be spent correcting its effects), according to its distance from the demands of the scholastic market.</w:t>
      </w:r>
      <w:hyperlink r:id="rId12" w:anchor="note6" w:history="1">
        <w:r w:rsidRPr="000E2D7E">
          <w:rPr>
            <w:rStyle w:val="Hyperlink"/>
            <w:vertAlign w:val="superscript"/>
          </w:rPr>
          <w:t>6</w:t>
        </w:r>
      </w:hyperlink>
    </w:p>
    <w:p w:rsidR="000E2D7E" w:rsidRPr="000E2D7E" w:rsidRDefault="000E2D7E" w:rsidP="000E2D7E">
      <w:r w:rsidRPr="000E2D7E">
        <w:t>(</w:t>
      </w:r>
      <w:proofErr w:type="spellStart"/>
      <w:r w:rsidRPr="000E2D7E">
        <w:t>Longhofer</w:t>
      </w:r>
      <w:proofErr w:type="spellEnd"/>
      <w:r w:rsidRPr="000E2D7E">
        <w:t xml:space="preserve"> 184-186)</w:t>
      </w:r>
    </w:p>
    <w:p w:rsidR="000E2D7E" w:rsidRPr="000E2D7E" w:rsidRDefault="000E2D7E" w:rsidP="000E2D7E">
      <w:proofErr w:type="spellStart"/>
      <w:r w:rsidRPr="000E2D7E">
        <w:lastRenderedPageBreak/>
        <w:t>Longhofer</w:t>
      </w:r>
      <w:proofErr w:type="spellEnd"/>
      <w:r w:rsidRPr="000E2D7E">
        <w:t xml:space="preserve">, Wesley. </w:t>
      </w:r>
      <w:r w:rsidRPr="000E2D7E">
        <w:rPr>
          <w:i/>
          <w:iCs/>
        </w:rPr>
        <w:t>Social Theory Re-Wired, 2nd Edition</w:t>
      </w:r>
      <w:r w:rsidRPr="000E2D7E">
        <w:t xml:space="preserve">. Routledge, 20160331. </w:t>
      </w:r>
      <w:proofErr w:type="spellStart"/>
      <w:r w:rsidRPr="000E2D7E">
        <w:t>VitalBook</w:t>
      </w:r>
      <w:proofErr w:type="spellEnd"/>
      <w:r w:rsidRPr="000E2D7E">
        <w:t xml:space="preserve"> file.</w:t>
      </w:r>
    </w:p>
    <w:p w:rsidR="000E2D7E" w:rsidRPr="000E2D7E" w:rsidRDefault="000E2D7E" w:rsidP="000E2D7E">
      <w:r w:rsidRPr="000E2D7E">
        <w:t>The citation provided is a guideline. Please check each citation for accuracy before use.</w:t>
      </w:r>
    </w:p>
    <w:p w:rsidR="000E2D7E" w:rsidRDefault="000E2D7E"/>
    <w:sectPr w:rsidR="000E2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F0D74"/>
    <w:multiLevelType w:val="multilevel"/>
    <w:tmpl w:val="B5C6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D0"/>
    <w:rsid w:val="000E2D7E"/>
    <w:rsid w:val="002065EF"/>
    <w:rsid w:val="007554EF"/>
    <w:rsid w:val="00784EC3"/>
    <w:rsid w:val="00EA77D0"/>
    <w:rsid w:val="00ED404E"/>
    <w:rsid w:val="00F4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8995"/>
  <w15:chartTrackingRefBased/>
  <w15:docId w15:val="{1B4F8B04-C128-40B1-8B35-AEBA4E3F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7D0"/>
    <w:rPr>
      <w:color w:val="0563C1" w:themeColor="hyperlink"/>
      <w:u w:val="single"/>
    </w:rPr>
  </w:style>
  <w:style w:type="character" w:styleId="Mention">
    <w:name w:val="Mention"/>
    <w:basedOn w:val="DefaultParagraphFont"/>
    <w:uiPriority w:val="99"/>
    <w:semiHidden/>
    <w:unhideWhenUsed/>
    <w:rsid w:val="00EA77D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4015">
      <w:bodyDiv w:val="1"/>
      <w:marLeft w:val="0"/>
      <w:marRight w:val="0"/>
      <w:marTop w:val="0"/>
      <w:marBottom w:val="0"/>
      <w:divBdr>
        <w:top w:val="none" w:sz="0" w:space="0" w:color="auto"/>
        <w:left w:val="none" w:sz="0" w:space="0" w:color="auto"/>
        <w:bottom w:val="none" w:sz="0" w:space="0" w:color="auto"/>
        <w:right w:val="none" w:sz="0" w:space="0" w:color="auto"/>
      </w:divBdr>
      <w:divsChild>
        <w:div w:id="2117824386">
          <w:marLeft w:val="0"/>
          <w:marRight w:val="0"/>
          <w:marTop w:val="0"/>
          <w:marBottom w:val="0"/>
          <w:divBdr>
            <w:top w:val="none" w:sz="0" w:space="0" w:color="auto"/>
            <w:left w:val="none" w:sz="0" w:space="0" w:color="auto"/>
            <w:bottom w:val="none" w:sz="0" w:space="0" w:color="auto"/>
            <w:right w:val="none" w:sz="0" w:space="0" w:color="auto"/>
          </w:divBdr>
          <w:divsChild>
            <w:div w:id="770005799">
              <w:marLeft w:val="0"/>
              <w:marRight w:val="0"/>
              <w:marTop w:val="0"/>
              <w:marBottom w:val="0"/>
              <w:divBdr>
                <w:top w:val="none" w:sz="0" w:space="0" w:color="auto"/>
                <w:left w:val="none" w:sz="0" w:space="0" w:color="auto"/>
                <w:bottom w:val="none" w:sz="0" w:space="0" w:color="auto"/>
                <w:right w:val="none" w:sz="0" w:space="0" w:color="auto"/>
              </w:divBdr>
              <w:divsChild>
                <w:div w:id="15980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3717">
      <w:bodyDiv w:val="1"/>
      <w:marLeft w:val="0"/>
      <w:marRight w:val="0"/>
      <w:marTop w:val="0"/>
      <w:marBottom w:val="0"/>
      <w:divBdr>
        <w:top w:val="none" w:sz="0" w:space="0" w:color="auto"/>
        <w:left w:val="none" w:sz="0" w:space="0" w:color="auto"/>
        <w:bottom w:val="none" w:sz="0" w:space="0" w:color="auto"/>
        <w:right w:val="none" w:sz="0" w:space="0" w:color="auto"/>
      </w:divBdr>
      <w:divsChild>
        <w:div w:id="326789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e.pub/qwx191epvq8e2gs4ifcx.vbk/OEBPS/ch0015.xlink.html"/>
  <Relationship Id="rId11" Type="http://schemas.openxmlformats.org/officeDocument/2006/relationships/hyperlink" TargetMode="External" Target="http://e.pub/qwx191epvq8e2gs4ifcx.vbk/OEBPS/ch0015.xlink.html"/>
  <Relationship Id="rId12" Type="http://schemas.openxmlformats.org/officeDocument/2006/relationships/hyperlink" TargetMode="External" Target="http://e.pub/qwx191epvq8e2gs4ifcx.vbk/OEBPS/ch0015.xlink.ht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e.pub/qwx191epvq8e2gs4ifcx.vbk/OEBPS/toc.xlink.html"/>
  <Relationship Id="rId6" Type="http://schemas.openxmlformats.org/officeDocument/2006/relationships/hyperlink" TargetMode="External" Target="http://e.pub/qwx191epvq8e2gs4ifcx.vbk/OEBPS/toc.xlink.html"/>
  <Relationship Id="rId7" Type="http://schemas.openxmlformats.org/officeDocument/2006/relationships/hyperlink" TargetMode="External" Target="http://e.pub/qwx191epvq8e2gs4ifcx.vbk/OEBPS/ch0015.xlink.html"/>
  <Relationship Id="rId8" Type="http://schemas.openxmlformats.org/officeDocument/2006/relationships/hyperlink" TargetMode="External" Target="http://e.pub/qwx191epvq8e2gs4ifcx.vbk/OEBPS/ch0015.xlink.html"/>
  <Relationship Id="rId9" Type="http://schemas.openxmlformats.org/officeDocument/2006/relationships/hyperlink" TargetMode="External" Target="http://e.pub/qwx191epvq8e2gs4ifcx.vbk/OEBPS/ch0015.xlink.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1906</Words>
  <Characters>10870</Characters>
  <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