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CAABE" w14:textId="77777777" w:rsidR="003C0525" w:rsidRPr="003C0525" w:rsidRDefault="003C0525" w:rsidP="003C0525">
      <w:pPr>
        <w:spacing w:after="0"/>
        <w:rPr>
          <w:b/>
        </w:rPr>
      </w:pPr>
      <w:r w:rsidRPr="003C0525">
        <w:rPr>
          <w:b/>
        </w:rPr>
        <w:t>Module 7 Critical Thinking Assignment</w:t>
      </w:r>
    </w:p>
    <w:p w14:paraId="351EFAF0" w14:textId="77777777" w:rsidR="003C0525" w:rsidRPr="003C0525" w:rsidRDefault="003C0525" w:rsidP="003C0525">
      <w:pPr>
        <w:spacing w:after="0"/>
        <w:rPr>
          <w:b/>
        </w:rPr>
      </w:pPr>
      <w:r w:rsidRPr="003C0525">
        <w:rPr>
          <w:b/>
        </w:rPr>
        <w:t>The Meaning and Measurement of Risk and Return</w:t>
      </w:r>
      <w:r w:rsidR="00FA31F8">
        <w:rPr>
          <w:b/>
        </w:rPr>
        <w:t xml:space="preserve">  (100 Points)</w:t>
      </w:r>
    </w:p>
    <w:p w14:paraId="008DA0B6" w14:textId="77777777" w:rsidR="003C0525" w:rsidRPr="003C0525" w:rsidRDefault="003C0525" w:rsidP="003C0525">
      <w:pPr>
        <w:spacing w:after="0"/>
        <w:rPr>
          <w:b/>
        </w:rPr>
      </w:pPr>
    </w:p>
    <w:p w14:paraId="545B103A" w14:textId="77777777" w:rsidR="003C0525" w:rsidRPr="003C0525" w:rsidRDefault="003C0525" w:rsidP="003C0525">
      <w:pPr>
        <w:spacing w:after="0"/>
      </w:pPr>
      <w:r w:rsidRPr="003C0525">
        <w:t xml:space="preserve">Complete the following problems. You will likely use a spreadsheet for this assignment but you may choose to type up your answers in a Word document. In either case, </w:t>
      </w:r>
      <w:r w:rsidRPr="003D4C3B">
        <w:rPr>
          <w:i/>
        </w:rPr>
        <w:t>be sure to show your work</w:t>
      </w:r>
      <w:r w:rsidRPr="003C0525">
        <w:t xml:space="preserve">. </w:t>
      </w:r>
    </w:p>
    <w:p w14:paraId="448A5E0F" w14:textId="77777777" w:rsidR="0012599E" w:rsidRPr="003C0525" w:rsidRDefault="00DF5F38"/>
    <w:p w14:paraId="0B47345A" w14:textId="77777777" w:rsidR="003C0525" w:rsidRPr="00DF5F38" w:rsidRDefault="003C0525" w:rsidP="003C0525">
      <w:pPr>
        <w:spacing w:after="0"/>
        <w:rPr>
          <w:b/>
        </w:rPr>
      </w:pPr>
      <w:r w:rsidRPr="00DF5F38">
        <w:rPr>
          <w:b/>
        </w:rPr>
        <w:t>Problem 7-1: Standard Deviation</w:t>
      </w:r>
    </w:p>
    <w:p w14:paraId="45B01E70" w14:textId="77777777" w:rsidR="003C0525" w:rsidRDefault="003C0525" w:rsidP="003C0525">
      <w:pPr>
        <w:spacing w:after="0"/>
        <w:rPr>
          <w:rFonts w:eastAsia="Times New Roman" w:cs="Times New Roman"/>
        </w:rPr>
      </w:pPr>
      <w:r w:rsidRPr="005577E8">
        <w:rPr>
          <w:rFonts w:eastAsia="Times New Roman" w:cs="Times New Roman"/>
        </w:rPr>
        <w:t>Given the following probabilities and returns for Saudi Corporation, find the standard deviation.</w:t>
      </w:r>
    </w:p>
    <w:p w14:paraId="108C7BF1" w14:textId="77777777" w:rsidR="00AD2559" w:rsidRDefault="00AD2559" w:rsidP="003C0525">
      <w:pPr>
        <w:spacing w:after="0"/>
        <w:rPr>
          <w:rFonts w:eastAsia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2248"/>
      </w:tblGrid>
      <w:tr w:rsidR="00AD2559" w14:paraId="24C5BC40" w14:textId="77777777" w:rsidTr="00AD2559">
        <w:tc>
          <w:tcPr>
            <w:tcW w:w="2247" w:type="dxa"/>
            <w:vAlign w:val="bottom"/>
          </w:tcPr>
          <w:p w14:paraId="787B8A70" w14:textId="77777777" w:rsidR="00AD2559" w:rsidRPr="005577E8" w:rsidRDefault="00AD2559" w:rsidP="00AD2559">
            <w:pPr>
              <w:rPr>
                <w:rFonts w:eastAsia="Times New Roman" w:cs="Times New Roman"/>
                <w:b/>
                <w:bCs/>
              </w:rPr>
            </w:pPr>
            <w:r w:rsidRPr="005577E8">
              <w:rPr>
                <w:rFonts w:eastAsia="Times New Roman" w:cs="Times New Roman"/>
                <w:b/>
                <w:bCs/>
              </w:rPr>
              <w:t>DATA</w:t>
            </w:r>
          </w:p>
        </w:tc>
        <w:tc>
          <w:tcPr>
            <w:tcW w:w="2248" w:type="dxa"/>
          </w:tcPr>
          <w:p w14:paraId="367AEC3D" w14:textId="77777777" w:rsidR="00AD2559" w:rsidRDefault="00AD2559" w:rsidP="00AD2559"/>
        </w:tc>
      </w:tr>
      <w:tr w:rsidR="00AD2559" w14:paraId="384B43AF" w14:textId="77777777" w:rsidTr="00AD2559">
        <w:tc>
          <w:tcPr>
            <w:tcW w:w="2247" w:type="dxa"/>
            <w:tcBorders>
              <w:right w:val="single" w:sz="4" w:space="0" w:color="auto"/>
            </w:tcBorders>
            <w:vAlign w:val="bottom"/>
          </w:tcPr>
          <w:p w14:paraId="50D39FCB" w14:textId="77777777" w:rsidR="00AD2559" w:rsidRPr="005577E8" w:rsidRDefault="00AD2559" w:rsidP="00AD2559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PROBABILITY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vAlign w:val="bottom"/>
          </w:tcPr>
          <w:p w14:paraId="61A5FF98" w14:textId="77777777" w:rsidR="00AD2559" w:rsidRPr="005577E8" w:rsidRDefault="00AD2559" w:rsidP="00AD2559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RETURNS</w:t>
            </w:r>
          </w:p>
        </w:tc>
      </w:tr>
      <w:tr w:rsidR="00AD2559" w14:paraId="78B0B6E0" w14:textId="77777777" w:rsidTr="00AD2559">
        <w:tc>
          <w:tcPr>
            <w:tcW w:w="2247" w:type="dxa"/>
            <w:tcBorders>
              <w:right w:val="single" w:sz="4" w:space="0" w:color="auto"/>
            </w:tcBorders>
            <w:vAlign w:val="bottom"/>
          </w:tcPr>
          <w:p w14:paraId="3A7065C5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0.35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vAlign w:val="bottom"/>
          </w:tcPr>
          <w:p w14:paraId="04FCFE34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6%</w:t>
            </w:r>
          </w:p>
        </w:tc>
      </w:tr>
      <w:tr w:rsidR="00AD2559" w14:paraId="3AE1DCAE" w14:textId="77777777" w:rsidTr="00AD2559">
        <w:tc>
          <w:tcPr>
            <w:tcW w:w="2247" w:type="dxa"/>
            <w:tcBorders>
              <w:right w:val="single" w:sz="4" w:space="0" w:color="auto"/>
            </w:tcBorders>
            <w:vAlign w:val="bottom"/>
          </w:tcPr>
          <w:p w14:paraId="2E64B31A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0.30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vAlign w:val="bottom"/>
          </w:tcPr>
          <w:p w14:paraId="6837AC82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5%</w:t>
            </w:r>
          </w:p>
        </w:tc>
      </w:tr>
      <w:tr w:rsidR="00AD2559" w14:paraId="0423285D" w14:textId="77777777" w:rsidTr="00AD2559">
        <w:tc>
          <w:tcPr>
            <w:tcW w:w="2247" w:type="dxa"/>
            <w:tcBorders>
              <w:right w:val="single" w:sz="4" w:space="0" w:color="auto"/>
            </w:tcBorders>
            <w:vAlign w:val="bottom"/>
          </w:tcPr>
          <w:p w14:paraId="05DBD6CE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0.20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vAlign w:val="bottom"/>
          </w:tcPr>
          <w:p w14:paraId="5DCC5D46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16%</w:t>
            </w:r>
          </w:p>
        </w:tc>
      </w:tr>
      <w:tr w:rsidR="00AD2559" w14:paraId="15239AD9" w14:textId="77777777" w:rsidTr="00AD2559">
        <w:tc>
          <w:tcPr>
            <w:tcW w:w="2247" w:type="dxa"/>
            <w:tcBorders>
              <w:right w:val="single" w:sz="4" w:space="0" w:color="auto"/>
            </w:tcBorders>
            <w:vAlign w:val="bottom"/>
          </w:tcPr>
          <w:p w14:paraId="53D03AC5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0.15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vAlign w:val="bottom"/>
          </w:tcPr>
          <w:p w14:paraId="766B803D" w14:textId="77777777" w:rsidR="00AD2559" w:rsidRPr="005577E8" w:rsidRDefault="00AD2559" w:rsidP="00AD2559">
            <w:pPr>
              <w:jc w:val="center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12%</w:t>
            </w:r>
          </w:p>
        </w:tc>
      </w:tr>
    </w:tbl>
    <w:p w14:paraId="11F845E2" w14:textId="77777777" w:rsidR="00AD2559" w:rsidRDefault="00AD2559" w:rsidP="003C0525">
      <w:pPr>
        <w:spacing w:after="0"/>
      </w:pPr>
    </w:p>
    <w:p w14:paraId="7C9DBAC7" w14:textId="77777777" w:rsidR="00AD2559" w:rsidRDefault="00AD2559" w:rsidP="003C0525">
      <w:pPr>
        <w:spacing w:after="0"/>
        <w:rPr>
          <w:b/>
        </w:rPr>
      </w:pPr>
      <w:r>
        <w:rPr>
          <w:b/>
        </w:rPr>
        <w:t>Solution</w:t>
      </w:r>
    </w:p>
    <w:p w14:paraId="4A134FAA" w14:textId="77777777" w:rsidR="00AD2559" w:rsidRDefault="00AD2559" w:rsidP="003C0525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188"/>
        <w:gridCol w:w="2279"/>
      </w:tblGrid>
      <w:tr w:rsidR="00AD2559" w:rsidRPr="00AD2559" w14:paraId="6F9AE300" w14:textId="77777777" w:rsidTr="00466802">
        <w:trPr>
          <w:trHeight w:val="432"/>
        </w:trPr>
        <w:tc>
          <w:tcPr>
            <w:tcW w:w="2188" w:type="dxa"/>
            <w:tcBorders>
              <w:right w:val="single" w:sz="4" w:space="0" w:color="auto"/>
            </w:tcBorders>
            <w:vAlign w:val="bottom"/>
          </w:tcPr>
          <w:p w14:paraId="61E411D6" w14:textId="77777777" w:rsidR="00AD2559" w:rsidRPr="00AD2559" w:rsidRDefault="00AD2559" w:rsidP="003C0525"/>
        </w:tc>
        <w:tc>
          <w:tcPr>
            <w:tcW w:w="2188" w:type="dxa"/>
            <w:tcBorders>
              <w:left w:val="single" w:sz="4" w:space="0" w:color="auto"/>
            </w:tcBorders>
            <w:vAlign w:val="bottom"/>
          </w:tcPr>
          <w:p w14:paraId="058D19DC" w14:textId="77777777" w:rsidR="00AD2559" w:rsidRPr="00AD2559" w:rsidRDefault="00AD2559" w:rsidP="003C0525"/>
        </w:tc>
        <w:tc>
          <w:tcPr>
            <w:tcW w:w="2279" w:type="dxa"/>
            <w:vAlign w:val="bottom"/>
          </w:tcPr>
          <w:p w14:paraId="1125BB9B" w14:textId="77777777" w:rsidR="00AD2559" w:rsidRPr="00AD2559" w:rsidRDefault="00AD2559" w:rsidP="003C0525"/>
        </w:tc>
      </w:tr>
      <w:tr w:rsidR="00AD2559" w:rsidRPr="00AD2559" w14:paraId="76A3AB4F" w14:textId="77777777" w:rsidTr="00466802">
        <w:trPr>
          <w:trHeight w:val="432"/>
        </w:trPr>
        <w:tc>
          <w:tcPr>
            <w:tcW w:w="2188" w:type="dxa"/>
            <w:tcBorders>
              <w:right w:val="single" w:sz="4" w:space="0" w:color="auto"/>
            </w:tcBorders>
            <w:vAlign w:val="bottom"/>
          </w:tcPr>
          <w:p w14:paraId="240371F6" w14:textId="77777777" w:rsidR="00AD2559" w:rsidRPr="00AD2559" w:rsidRDefault="00AD2559" w:rsidP="003C0525"/>
        </w:tc>
        <w:tc>
          <w:tcPr>
            <w:tcW w:w="2188" w:type="dxa"/>
            <w:tcBorders>
              <w:left w:val="single" w:sz="4" w:space="0" w:color="auto"/>
            </w:tcBorders>
            <w:vAlign w:val="bottom"/>
          </w:tcPr>
          <w:p w14:paraId="3337A0B1" w14:textId="77777777" w:rsidR="00AD2559" w:rsidRPr="00AD2559" w:rsidRDefault="00AD2559" w:rsidP="003C0525"/>
        </w:tc>
        <w:tc>
          <w:tcPr>
            <w:tcW w:w="2279" w:type="dxa"/>
            <w:vAlign w:val="bottom"/>
          </w:tcPr>
          <w:p w14:paraId="781C7439" w14:textId="77777777" w:rsidR="00AD2559" w:rsidRPr="00AD2559" w:rsidRDefault="00AD2559" w:rsidP="003C0525"/>
        </w:tc>
      </w:tr>
      <w:tr w:rsidR="00AD2559" w:rsidRPr="00AD2559" w14:paraId="3463122D" w14:textId="77777777" w:rsidTr="00466802">
        <w:trPr>
          <w:trHeight w:val="432"/>
        </w:trPr>
        <w:tc>
          <w:tcPr>
            <w:tcW w:w="2188" w:type="dxa"/>
            <w:tcBorders>
              <w:right w:val="single" w:sz="4" w:space="0" w:color="auto"/>
            </w:tcBorders>
            <w:vAlign w:val="bottom"/>
          </w:tcPr>
          <w:p w14:paraId="7FEFF898" w14:textId="77777777" w:rsidR="00AD2559" w:rsidRPr="00AD2559" w:rsidRDefault="00AD2559" w:rsidP="003C0525"/>
        </w:tc>
        <w:tc>
          <w:tcPr>
            <w:tcW w:w="2188" w:type="dxa"/>
            <w:tcBorders>
              <w:left w:val="single" w:sz="4" w:space="0" w:color="auto"/>
            </w:tcBorders>
            <w:vAlign w:val="bottom"/>
          </w:tcPr>
          <w:p w14:paraId="3420EC03" w14:textId="77777777" w:rsidR="00AD2559" w:rsidRPr="00AD2559" w:rsidRDefault="00AD2559" w:rsidP="003C0525"/>
        </w:tc>
        <w:tc>
          <w:tcPr>
            <w:tcW w:w="2279" w:type="dxa"/>
            <w:vAlign w:val="bottom"/>
          </w:tcPr>
          <w:p w14:paraId="6E0AEE40" w14:textId="77777777" w:rsidR="00AD2559" w:rsidRPr="00AD2559" w:rsidRDefault="00AD2559" w:rsidP="003C0525"/>
        </w:tc>
      </w:tr>
      <w:tr w:rsidR="00AD2559" w:rsidRPr="00AD2559" w14:paraId="3049970E" w14:textId="77777777" w:rsidTr="00466802">
        <w:trPr>
          <w:trHeight w:val="432"/>
        </w:trPr>
        <w:tc>
          <w:tcPr>
            <w:tcW w:w="2188" w:type="dxa"/>
            <w:tcBorders>
              <w:right w:val="single" w:sz="4" w:space="0" w:color="auto"/>
            </w:tcBorders>
            <w:vAlign w:val="bottom"/>
          </w:tcPr>
          <w:p w14:paraId="57BD04D0" w14:textId="77777777" w:rsidR="00AD2559" w:rsidRPr="00AD2559" w:rsidRDefault="00AD2559" w:rsidP="003C0525"/>
        </w:tc>
        <w:tc>
          <w:tcPr>
            <w:tcW w:w="2188" w:type="dxa"/>
            <w:tcBorders>
              <w:left w:val="single" w:sz="4" w:space="0" w:color="auto"/>
            </w:tcBorders>
            <w:vAlign w:val="bottom"/>
          </w:tcPr>
          <w:p w14:paraId="096E8FCF" w14:textId="77777777" w:rsidR="00AD2559" w:rsidRPr="00AD2559" w:rsidRDefault="00AD2559" w:rsidP="003C0525"/>
        </w:tc>
        <w:tc>
          <w:tcPr>
            <w:tcW w:w="2279" w:type="dxa"/>
            <w:tcBorders>
              <w:bottom w:val="single" w:sz="4" w:space="0" w:color="auto"/>
            </w:tcBorders>
            <w:vAlign w:val="bottom"/>
          </w:tcPr>
          <w:p w14:paraId="718FAF6B" w14:textId="77777777" w:rsidR="00AD2559" w:rsidRPr="00AD2559" w:rsidRDefault="00AD2559" w:rsidP="003C0525"/>
        </w:tc>
      </w:tr>
      <w:tr w:rsidR="00AD2559" w:rsidRPr="00AD2559" w14:paraId="4200017D" w14:textId="77777777" w:rsidTr="00466802">
        <w:trPr>
          <w:trHeight w:val="432"/>
        </w:trPr>
        <w:tc>
          <w:tcPr>
            <w:tcW w:w="2188" w:type="dxa"/>
            <w:vAlign w:val="bottom"/>
          </w:tcPr>
          <w:p w14:paraId="1234BF3E" w14:textId="77777777" w:rsidR="00AD2559" w:rsidRPr="00AD2559" w:rsidRDefault="00AD2559" w:rsidP="003C0525">
            <w:r w:rsidRPr="00AD2559">
              <w:t>Expected return</w:t>
            </w:r>
          </w:p>
        </w:tc>
        <w:tc>
          <w:tcPr>
            <w:tcW w:w="2188" w:type="dxa"/>
            <w:tcBorders>
              <w:left w:val="nil"/>
              <w:right w:val="single" w:sz="4" w:space="0" w:color="auto"/>
            </w:tcBorders>
            <w:vAlign w:val="bottom"/>
          </w:tcPr>
          <w:p w14:paraId="0C99681F" w14:textId="77777777" w:rsidR="00AD2559" w:rsidRPr="00AD2559" w:rsidRDefault="00AD2559" w:rsidP="003C0525"/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2262" w14:textId="77777777" w:rsidR="00AD2559" w:rsidRPr="00AD2559" w:rsidRDefault="00AD2559" w:rsidP="003C0525"/>
        </w:tc>
      </w:tr>
    </w:tbl>
    <w:p w14:paraId="1545E3DE" w14:textId="77777777" w:rsidR="00AD2559" w:rsidRDefault="00AD2559" w:rsidP="003C0525">
      <w:pPr>
        <w:spacing w:after="0"/>
        <w:rPr>
          <w:b/>
        </w:rPr>
      </w:pPr>
    </w:p>
    <w:p w14:paraId="35436BC1" w14:textId="77777777" w:rsidR="00AD2559" w:rsidRDefault="00AD2559" w:rsidP="003C0525">
      <w:pPr>
        <w:spacing w:after="0"/>
        <w:rPr>
          <w:b/>
        </w:rPr>
      </w:pPr>
    </w:p>
    <w:p w14:paraId="7689961D" w14:textId="77777777" w:rsidR="00466802" w:rsidRDefault="00466802" w:rsidP="003C0525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565"/>
        <w:gridCol w:w="2565"/>
        <w:gridCol w:w="2430"/>
      </w:tblGrid>
      <w:tr w:rsidR="00AD2559" w14:paraId="42AD1B6C" w14:textId="77777777" w:rsidTr="000404ED"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1750CFEC" w14:textId="77777777" w:rsidR="00AD2559" w:rsidRDefault="00AD2559" w:rsidP="00AD2559">
            <w:pPr>
              <w:jc w:val="center"/>
              <w:rPr>
                <w:b/>
              </w:rPr>
            </w:pPr>
            <w:r>
              <w:rPr>
                <w:b/>
              </w:rPr>
              <w:t>DEVIATION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12454E1B" w14:textId="77777777" w:rsidR="00AD2559" w:rsidRDefault="00AD2559" w:rsidP="00AD2559">
            <w:pPr>
              <w:jc w:val="center"/>
              <w:rPr>
                <w:b/>
              </w:rPr>
            </w:pPr>
            <w:r>
              <w:rPr>
                <w:b/>
              </w:rPr>
              <w:t>Deviation Squared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07D20C39" w14:textId="77777777" w:rsidR="00AD2559" w:rsidRDefault="00AD2559" w:rsidP="00AD2559">
            <w:pPr>
              <w:jc w:val="center"/>
              <w:rPr>
                <w:b/>
              </w:rPr>
            </w:pPr>
            <w:r>
              <w:rPr>
                <w:b/>
              </w:rPr>
              <w:t>Probability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02B92D8" w14:textId="77777777" w:rsidR="00AD2559" w:rsidRDefault="00AD2559" w:rsidP="00AD2559">
            <w:pPr>
              <w:jc w:val="center"/>
              <w:rPr>
                <w:b/>
              </w:rPr>
            </w:pPr>
            <w:r>
              <w:rPr>
                <w:b/>
              </w:rPr>
              <w:t>Probability x Deviation Squared</w:t>
            </w:r>
          </w:p>
        </w:tc>
      </w:tr>
      <w:tr w:rsidR="000404ED" w:rsidRPr="000404ED" w14:paraId="2DD4B7B3" w14:textId="77777777" w:rsidTr="000404ED">
        <w:trPr>
          <w:trHeight w:val="432"/>
        </w:trPr>
        <w:tc>
          <w:tcPr>
            <w:tcW w:w="1525" w:type="dxa"/>
            <w:tcBorders>
              <w:top w:val="single" w:sz="4" w:space="0" w:color="auto"/>
            </w:tcBorders>
          </w:tcPr>
          <w:p w14:paraId="0601C57F" w14:textId="77777777" w:rsidR="000404ED" w:rsidRPr="000404ED" w:rsidRDefault="000404ED" w:rsidP="000404ED"/>
        </w:tc>
        <w:tc>
          <w:tcPr>
            <w:tcW w:w="2565" w:type="dxa"/>
            <w:tcBorders>
              <w:top w:val="single" w:sz="4" w:space="0" w:color="auto"/>
            </w:tcBorders>
          </w:tcPr>
          <w:p w14:paraId="0D0242A7" w14:textId="77777777" w:rsidR="000404ED" w:rsidRPr="000404ED" w:rsidRDefault="000404ED" w:rsidP="000404ED"/>
        </w:tc>
        <w:tc>
          <w:tcPr>
            <w:tcW w:w="2565" w:type="dxa"/>
            <w:tcBorders>
              <w:top w:val="single" w:sz="4" w:space="0" w:color="auto"/>
            </w:tcBorders>
            <w:vAlign w:val="bottom"/>
          </w:tcPr>
          <w:p w14:paraId="2AC3A5E9" w14:textId="77777777" w:rsidR="000404ED" w:rsidRPr="000404ED" w:rsidRDefault="000404ED" w:rsidP="000404ED">
            <w:pPr>
              <w:jc w:val="center"/>
              <w:rPr>
                <w:rFonts w:eastAsia="Times New Roman" w:cs="Times New Roman"/>
              </w:rPr>
            </w:pPr>
            <w:r w:rsidRPr="000404ED">
              <w:rPr>
                <w:rFonts w:eastAsia="Times New Roman" w:cs="Times New Roman"/>
              </w:rPr>
              <w:t>0.35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EC099B0" w14:textId="77777777" w:rsidR="000404ED" w:rsidRPr="000404ED" w:rsidRDefault="000404ED" w:rsidP="000404ED"/>
        </w:tc>
      </w:tr>
      <w:tr w:rsidR="000404ED" w:rsidRPr="000404ED" w14:paraId="0A73080E" w14:textId="77777777" w:rsidTr="000404ED">
        <w:trPr>
          <w:trHeight w:val="432"/>
        </w:trPr>
        <w:tc>
          <w:tcPr>
            <w:tcW w:w="1525" w:type="dxa"/>
          </w:tcPr>
          <w:p w14:paraId="549821CC" w14:textId="77777777" w:rsidR="000404ED" w:rsidRPr="000404ED" w:rsidRDefault="000404ED" w:rsidP="000404ED"/>
        </w:tc>
        <w:tc>
          <w:tcPr>
            <w:tcW w:w="2565" w:type="dxa"/>
          </w:tcPr>
          <w:p w14:paraId="6B556BCB" w14:textId="77777777" w:rsidR="000404ED" w:rsidRPr="000404ED" w:rsidRDefault="000404ED" w:rsidP="000404ED"/>
        </w:tc>
        <w:tc>
          <w:tcPr>
            <w:tcW w:w="2565" w:type="dxa"/>
            <w:vAlign w:val="bottom"/>
          </w:tcPr>
          <w:p w14:paraId="47153F09" w14:textId="77777777" w:rsidR="000404ED" w:rsidRPr="000404ED" w:rsidRDefault="000404ED" w:rsidP="000404ED">
            <w:pPr>
              <w:jc w:val="center"/>
              <w:rPr>
                <w:rFonts w:eastAsia="Times New Roman" w:cs="Times New Roman"/>
              </w:rPr>
            </w:pPr>
            <w:r w:rsidRPr="000404ED">
              <w:rPr>
                <w:rFonts w:eastAsia="Times New Roman" w:cs="Times New Roman"/>
              </w:rPr>
              <w:t>0.30</w:t>
            </w:r>
          </w:p>
        </w:tc>
        <w:tc>
          <w:tcPr>
            <w:tcW w:w="2430" w:type="dxa"/>
          </w:tcPr>
          <w:p w14:paraId="15201284" w14:textId="77777777" w:rsidR="000404ED" w:rsidRPr="000404ED" w:rsidRDefault="000404ED" w:rsidP="000404ED"/>
        </w:tc>
      </w:tr>
      <w:tr w:rsidR="000404ED" w:rsidRPr="000404ED" w14:paraId="0693E9B8" w14:textId="77777777" w:rsidTr="000404ED">
        <w:trPr>
          <w:trHeight w:val="432"/>
        </w:trPr>
        <w:tc>
          <w:tcPr>
            <w:tcW w:w="1525" w:type="dxa"/>
          </w:tcPr>
          <w:p w14:paraId="7A08BA1A" w14:textId="77777777" w:rsidR="000404ED" w:rsidRPr="000404ED" w:rsidRDefault="000404ED" w:rsidP="000404ED"/>
        </w:tc>
        <w:tc>
          <w:tcPr>
            <w:tcW w:w="2565" w:type="dxa"/>
          </w:tcPr>
          <w:p w14:paraId="3BD8806A" w14:textId="77777777" w:rsidR="000404ED" w:rsidRPr="000404ED" w:rsidRDefault="000404ED" w:rsidP="000404ED"/>
        </w:tc>
        <w:tc>
          <w:tcPr>
            <w:tcW w:w="2565" w:type="dxa"/>
            <w:vAlign w:val="bottom"/>
          </w:tcPr>
          <w:p w14:paraId="7BC33DD8" w14:textId="77777777" w:rsidR="000404ED" w:rsidRPr="000404ED" w:rsidRDefault="000404ED" w:rsidP="000404ED">
            <w:pPr>
              <w:jc w:val="center"/>
              <w:rPr>
                <w:rFonts w:eastAsia="Times New Roman" w:cs="Times New Roman"/>
              </w:rPr>
            </w:pPr>
            <w:r w:rsidRPr="000404ED">
              <w:rPr>
                <w:rFonts w:eastAsia="Times New Roman" w:cs="Times New Roman"/>
              </w:rPr>
              <w:t>0.20</w:t>
            </w:r>
          </w:p>
        </w:tc>
        <w:tc>
          <w:tcPr>
            <w:tcW w:w="2430" w:type="dxa"/>
          </w:tcPr>
          <w:p w14:paraId="0C28716C" w14:textId="77777777" w:rsidR="000404ED" w:rsidRPr="000404ED" w:rsidRDefault="000404ED" w:rsidP="000404ED"/>
        </w:tc>
      </w:tr>
      <w:tr w:rsidR="000404ED" w:rsidRPr="000404ED" w14:paraId="0A6009E0" w14:textId="77777777" w:rsidTr="000404ED">
        <w:trPr>
          <w:trHeight w:val="432"/>
        </w:trPr>
        <w:tc>
          <w:tcPr>
            <w:tcW w:w="1525" w:type="dxa"/>
          </w:tcPr>
          <w:p w14:paraId="7379F522" w14:textId="77777777" w:rsidR="000404ED" w:rsidRPr="000404ED" w:rsidRDefault="000404ED" w:rsidP="000404ED"/>
        </w:tc>
        <w:tc>
          <w:tcPr>
            <w:tcW w:w="2565" w:type="dxa"/>
          </w:tcPr>
          <w:p w14:paraId="28BE0985" w14:textId="77777777" w:rsidR="000404ED" w:rsidRPr="000404ED" w:rsidRDefault="000404ED" w:rsidP="000404ED"/>
        </w:tc>
        <w:tc>
          <w:tcPr>
            <w:tcW w:w="2565" w:type="dxa"/>
            <w:vAlign w:val="bottom"/>
          </w:tcPr>
          <w:p w14:paraId="1D800A03" w14:textId="77777777" w:rsidR="000404ED" w:rsidRPr="000404ED" w:rsidRDefault="000404ED" w:rsidP="000404ED">
            <w:pPr>
              <w:jc w:val="center"/>
              <w:rPr>
                <w:rFonts w:eastAsia="Times New Roman" w:cs="Times New Roman"/>
              </w:rPr>
            </w:pPr>
            <w:r w:rsidRPr="000404ED">
              <w:rPr>
                <w:rFonts w:eastAsia="Times New Roman" w:cs="Times New Roman"/>
              </w:rPr>
              <w:t>0.15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40CCEA2" w14:textId="77777777" w:rsidR="000404ED" w:rsidRPr="000404ED" w:rsidRDefault="000404ED" w:rsidP="000404ED"/>
        </w:tc>
      </w:tr>
      <w:tr w:rsidR="00AD2559" w:rsidRPr="000404ED" w14:paraId="74EE3AFD" w14:textId="77777777" w:rsidTr="000404ED">
        <w:trPr>
          <w:trHeight w:val="432"/>
        </w:trPr>
        <w:tc>
          <w:tcPr>
            <w:tcW w:w="1525" w:type="dxa"/>
            <w:vAlign w:val="bottom"/>
          </w:tcPr>
          <w:p w14:paraId="216794DE" w14:textId="77777777" w:rsidR="00AD2559" w:rsidRPr="000404ED" w:rsidRDefault="00AD2559" w:rsidP="003C0525"/>
        </w:tc>
        <w:tc>
          <w:tcPr>
            <w:tcW w:w="2565" w:type="dxa"/>
            <w:vAlign w:val="bottom"/>
          </w:tcPr>
          <w:p w14:paraId="1DC6CEDC" w14:textId="77777777" w:rsidR="00AD2559" w:rsidRPr="000404ED" w:rsidRDefault="00AD2559" w:rsidP="003C0525"/>
        </w:tc>
        <w:tc>
          <w:tcPr>
            <w:tcW w:w="2565" w:type="dxa"/>
            <w:tcBorders>
              <w:right w:val="single" w:sz="4" w:space="0" w:color="auto"/>
            </w:tcBorders>
            <w:vAlign w:val="bottom"/>
          </w:tcPr>
          <w:p w14:paraId="6EFA88F6" w14:textId="77777777" w:rsidR="00AD2559" w:rsidRPr="000404ED" w:rsidRDefault="000404ED" w:rsidP="003C0525">
            <w:r w:rsidRPr="000404ED">
              <w:t>Variance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4AAB" w14:textId="77777777" w:rsidR="00AD2559" w:rsidRPr="000404ED" w:rsidRDefault="00AD2559" w:rsidP="003C0525"/>
        </w:tc>
      </w:tr>
      <w:tr w:rsidR="00AD2559" w:rsidRPr="000404ED" w14:paraId="25DFD999" w14:textId="77777777" w:rsidTr="000404ED">
        <w:trPr>
          <w:trHeight w:val="432"/>
        </w:trPr>
        <w:tc>
          <w:tcPr>
            <w:tcW w:w="1525" w:type="dxa"/>
            <w:vAlign w:val="bottom"/>
          </w:tcPr>
          <w:p w14:paraId="7259F6F1" w14:textId="77777777" w:rsidR="00AD2559" w:rsidRPr="000404ED" w:rsidRDefault="00AD2559" w:rsidP="003C0525"/>
        </w:tc>
        <w:tc>
          <w:tcPr>
            <w:tcW w:w="2565" w:type="dxa"/>
            <w:vAlign w:val="bottom"/>
          </w:tcPr>
          <w:p w14:paraId="00635F49" w14:textId="77777777" w:rsidR="00AD2559" w:rsidRPr="000404ED" w:rsidRDefault="00AD2559" w:rsidP="003C0525"/>
        </w:tc>
        <w:tc>
          <w:tcPr>
            <w:tcW w:w="2565" w:type="dxa"/>
            <w:tcBorders>
              <w:right w:val="single" w:sz="4" w:space="0" w:color="auto"/>
            </w:tcBorders>
            <w:vAlign w:val="bottom"/>
          </w:tcPr>
          <w:p w14:paraId="7F4B1E00" w14:textId="77777777" w:rsidR="00AD2559" w:rsidRPr="000404ED" w:rsidRDefault="000404ED" w:rsidP="003C0525">
            <w:r w:rsidRPr="000404ED">
              <w:t>Standard Deviation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AE5D3" w14:textId="77777777" w:rsidR="00AD2559" w:rsidRPr="000404ED" w:rsidRDefault="00AD2559" w:rsidP="003C0525"/>
        </w:tc>
      </w:tr>
    </w:tbl>
    <w:p w14:paraId="17AB857F" w14:textId="77777777" w:rsidR="00AD2559" w:rsidRPr="000404ED" w:rsidRDefault="00AD2559" w:rsidP="003C0525">
      <w:pPr>
        <w:spacing w:after="0"/>
      </w:pPr>
    </w:p>
    <w:p w14:paraId="2A2D147B" w14:textId="77777777" w:rsidR="00AD2559" w:rsidRDefault="00AD2559" w:rsidP="003C0525">
      <w:pPr>
        <w:spacing w:after="0"/>
        <w:rPr>
          <w:b/>
        </w:rPr>
      </w:pPr>
    </w:p>
    <w:p w14:paraId="1E778721" w14:textId="77777777" w:rsidR="00AD2559" w:rsidRDefault="00AD2559" w:rsidP="003C0525">
      <w:pPr>
        <w:spacing w:after="0"/>
        <w:rPr>
          <w:b/>
        </w:rPr>
      </w:pPr>
    </w:p>
    <w:p w14:paraId="6A87CBA9" w14:textId="77777777" w:rsidR="00466802" w:rsidRDefault="00466802" w:rsidP="003C0525">
      <w:pPr>
        <w:spacing w:after="0"/>
        <w:rPr>
          <w:b/>
        </w:rPr>
      </w:pPr>
    </w:p>
    <w:p w14:paraId="769D07F4" w14:textId="77777777" w:rsidR="003D4C3B" w:rsidRDefault="003D4C3B" w:rsidP="003C0525">
      <w:pPr>
        <w:spacing w:after="0"/>
        <w:rPr>
          <w:b/>
        </w:rPr>
      </w:pPr>
    </w:p>
    <w:p w14:paraId="01471B9F" w14:textId="77777777" w:rsidR="003C0525" w:rsidRPr="00DF5F38" w:rsidRDefault="003C0525" w:rsidP="003C0525">
      <w:pPr>
        <w:spacing w:after="0"/>
        <w:rPr>
          <w:b/>
        </w:rPr>
      </w:pPr>
      <w:r w:rsidRPr="00DF5F38">
        <w:rPr>
          <w:b/>
        </w:rPr>
        <w:lastRenderedPageBreak/>
        <w:t>Problem 7-2: Holding Period Gain and Return</w:t>
      </w:r>
    </w:p>
    <w:p w14:paraId="1FFB5F88" w14:textId="77777777" w:rsidR="003C0525" w:rsidRDefault="003C0525" w:rsidP="00B51A80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Suppose you purchased 26 shares of Riyadh Corporation stock for SAR 50.60 per share on June 1. On October 1 of the same year, you sold 16 shares of the stock for SAR 52.12 per share. Calculate the holding-period SAR gain for the shares you sold, assuming no dividend was distributed, and the holding period rate of return.</w:t>
      </w:r>
    </w:p>
    <w:p w14:paraId="098CA3CD" w14:textId="77777777" w:rsidR="00B51A80" w:rsidRDefault="00B51A80" w:rsidP="003C0525">
      <w:pPr>
        <w:spacing w:after="0" w:line="240" w:lineRule="auto"/>
        <w:rPr>
          <w:rFonts w:eastAsia="Times New Roman" w:cs="Times New Roman"/>
          <w:szCs w:val="24"/>
        </w:rPr>
      </w:pPr>
    </w:p>
    <w:p w14:paraId="7374A1B6" w14:textId="77777777" w:rsidR="0070314B" w:rsidRDefault="0070314B" w:rsidP="003C0525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890"/>
      </w:tblGrid>
      <w:tr w:rsidR="0070314B" w14:paraId="72A186EF" w14:textId="77777777" w:rsidTr="0070314B">
        <w:tc>
          <w:tcPr>
            <w:tcW w:w="1885" w:type="dxa"/>
            <w:vAlign w:val="bottom"/>
          </w:tcPr>
          <w:p w14:paraId="5C6CA815" w14:textId="77777777" w:rsidR="0070314B" w:rsidRPr="005577E8" w:rsidRDefault="0070314B" w:rsidP="0070314B">
            <w:pPr>
              <w:rPr>
                <w:rFonts w:eastAsia="Times New Roman" w:cs="Times New Roman"/>
                <w:b/>
              </w:rPr>
            </w:pPr>
            <w:r w:rsidRPr="005577E8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1890" w:type="dxa"/>
          </w:tcPr>
          <w:p w14:paraId="4F791182" w14:textId="77777777" w:rsidR="0070314B" w:rsidRDefault="0070314B" w:rsidP="0070314B">
            <w:pPr>
              <w:rPr>
                <w:rFonts w:eastAsia="Times New Roman" w:cs="Times New Roman"/>
                <w:szCs w:val="24"/>
              </w:rPr>
            </w:pPr>
          </w:p>
        </w:tc>
      </w:tr>
      <w:tr w:rsidR="0070314B" w14:paraId="17584AFC" w14:textId="77777777" w:rsidTr="0070314B">
        <w:tc>
          <w:tcPr>
            <w:tcW w:w="1885" w:type="dxa"/>
            <w:vAlign w:val="bottom"/>
          </w:tcPr>
          <w:p w14:paraId="39C26F71" w14:textId="77777777" w:rsidR="0070314B" w:rsidRPr="005577E8" w:rsidRDefault="0070314B" w:rsidP="0070314B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Purchase price</w:t>
            </w:r>
          </w:p>
        </w:tc>
        <w:tc>
          <w:tcPr>
            <w:tcW w:w="1890" w:type="dxa"/>
            <w:vAlign w:val="bottom"/>
          </w:tcPr>
          <w:p w14:paraId="733A1C30" w14:textId="77777777" w:rsidR="0070314B" w:rsidRPr="005577E8" w:rsidRDefault="0070314B" w:rsidP="0070314B">
            <w:pPr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 xml:space="preserve">50.62 </w:t>
            </w:r>
          </w:p>
        </w:tc>
      </w:tr>
      <w:tr w:rsidR="0070314B" w14:paraId="598E0118" w14:textId="77777777" w:rsidTr="0070314B">
        <w:tc>
          <w:tcPr>
            <w:tcW w:w="1885" w:type="dxa"/>
            <w:vAlign w:val="bottom"/>
          </w:tcPr>
          <w:p w14:paraId="31416E9A" w14:textId="77777777" w:rsidR="0070314B" w:rsidRPr="005577E8" w:rsidRDefault="0070314B" w:rsidP="0070314B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Selling price</w:t>
            </w:r>
          </w:p>
        </w:tc>
        <w:tc>
          <w:tcPr>
            <w:tcW w:w="1890" w:type="dxa"/>
            <w:vAlign w:val="bottom"/>
          </w:tcPr>
          <w:p w14:paraId="363CE79B" w14:textId="77777777" w:rsidR="0070314B" w:rsidRPr="005577E8" w:rsidRDefault="0070314B" w:rsidP="0070314B">
            <w:pPr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 xml:space="preserve">54.12 </w:t>
            </w:r>
          </w:p>
        </w:tc>
      </w:tr>
      <w:tr w:rsidR="0070314B" w14:paraId="6F5B0C9D" w14:textId="77777777" w:rsidTr="0070314B">
        <w:tc>
          <w:tcPr>
            <w:tcW w:w="1885" w:type="dxa"/>
            <w:vAlign w:val="bottom"/>
          </w:tcPr>
          <w:p w14:paraId="37CCE31D" w14:textId="77777777" w:rsidR="0070314B" w:rsidRPr="005577E8" w:rsidRDefault="0070314B" w:rsidP="0070314B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Shares sold</w:t>
            </w:r>
          </w:p>
        </w:tc>
        <w:tc>
          <w:tcPr>
            <w:tcW w:w="1890" w:type="dxa"/>
            <w:vAlign w:val="bottom"/>
          </w:tcPr>
          <w:p w14:paraId="4A31B0DE" w14:textId="77777777" w:rsidR="0070314B" w:rsidRPr="005577E8" w:rsidRDefault="0070314B" w:rsidP="0070314B">
            <w:pPr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16</w:t>
            </w:r>
          </w:p>
        </w:tc>
      </w:tr>
    </w:tbl>
    <w:p w14:paraId="12FFC651" w14:textId="77777777" w:rsidR="0070314B" w:rsidRDefault="0070314B" w:rsidP="003C0525">
      <w:pPr>
        <w:spacing w:after="0" w:line="240" w:lineRule="auto"/>
        <w:rPr>
          <w:rFonts w:eastAsia="Times New Roman" w:cs="Times New Roman"/>
          <w:szCs w:val="24"/>
        </w:rPr>
      </w:pPr>
    </w:p>
    <w:p w14:paraId="7967DED3" w14:textId="77777777" w:rsidR="0070314B" w:rsidRDefault="0070314B" w:rsidP="003C0525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490" w:type="dxa"/>
        <w:tblLook w:val="04A0" w:firstRow="1" w:lastRow="0" w:firstColumn="1" w:lastColumn="0" w:noHBand="0" w:noVBand="1"/>
      </w:tblPr>
      <w:tblGrid>
        <w:gridCol w:w="3150"/>
        <w:gridCol w:w="2340"/>
      </w:tblGrid>
      <w:tr w:rsidR="0070314B" w:rsidRPr="00B51A80" w14:paraId="5A91F245" w14:textId="77777777" w:rsidTr="0070314B">
        <w:trPr>
          <w:trHeight w:val="31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36D8" w14:textId="77777777" w:rsidR="0070314B" w:rsidRPr="00B51A80" w:rsidRDefault="0070314B" w:rsidP="00EF061D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B51A80">
              <w:rPr>
                <w:rFonts w:eastAsia="Times New Roman" w:cs="Times New Roman"/>
                <w:b/>
                <w:bCs/>
              </w:rPr>
              <w:t>Solution: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0CF6A" w14:textId="77777777" w:rsidR="0070314B" w:rsidRPr="00B51A80" w:rsidRDefault="0070314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0314B" w:rsidRPr="005577E8" w14:paraId="10FFA840" w14:textId="77777777" w:rsidTr="0070314B">
        <w:trPr>
          <w:trHeight w:val="43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5F6" w14:textId="77777777" w:rsidR="0070314B" w:rsidRPr="005577E8" w:rsidRDefault="0070314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Holding-period gain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507D" w14:textId="77777777" w:rsidR="0070314B" w:rsidRPr="005577E8" w:rsidRDefault="0070314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0314B" w:rsidRPr="005577E8" w14:paraId="1BF1FDF7" w14:textId="77777777" w:rsidTr="0070314B">
        <w:trPr>
          <w:trHeight w:val="43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54C0" w14:textId="77777777" w:rsidR="0070314B" w:rsidRPr="005577E8" w:rsidRDefault="0070314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Holding-period return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7C0" w14:textId="77777777" w:rsidR="0070314B" w:rsidRPr="005577E8" w:rsidRDefault="0070314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2DA89EB6" w14:textId="77777777" w:rsidR="003C0525" w:rsidRPr="003C0525" w:rsidRDefault="003C0525" w:rsidP="003C0525">
      <w:pPr>
        <w:spacing w:after="0" w:line="240" w:lineRule="auto"/>
        <w:rPr>
          <w:b/>
          <w:sz w:val="20"/>
          <w:u w:val="single"/>
        </w:rPr>
      </w:pPr>
    </w:p>
    <w:p w14:paraId="38DD6583" w14:textId="77777777" w:rsidR="003C0525" w:rsidRDefault="003C0525" w:rsidP="003C0525">
      <w:pPr>
        <w:spacing w:after="0"/>
        <w:rPr>
          <w:b/>
          <w:u w:val="single"/>
        </w:rPr>
      </w:pPr>
    </w:p>
    <w:p w14:paraId="208C31AD" w14:textId="77777777" w:rsidR="00DE7D5F" w:rsidRPr="003C0525" w:rsidRDefault="00DE7D5F" w:rsidP="003C0525">
      <w:pPr>
        <w:spacing w:after="0"/>
        <w:rPr>
          <w:b/>
          <w:u w:val="single"/>
        </w:rPr>
      </w:pPr>
    </w:p>
    <w:p w14:paraId="3D5A8095" w14:textId="77777777" w:rsidR="00DE7D5F" w:rsidRPr="00DF5F38" w:rsidRDefault="00DE7D5F" w:rsidP="00DE7D5F">
      <w:pPr>
        <w:spacing w:after="0"/>
        <w:rPr>
          <w:b/>
        </w:rPr>
      </w:pPr>
      <w:r w:rsidRPr="00DF5F38">
        <w:rPr>
          <w:b/>
        </w:rPr>
        <w:t>Problem 7-3: Capital Asset Pricing Model</w:t>
      </w:r>
    </w:p>
    <w:p w14:paraId="54039996" w14:textId="77777777" w:rsidR="003C0525" w:rsidRDefault="00DE7D5F" w:rsidP="00B51A80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Using the CAPM, estimate the appropriate required rate of return for the three stocks listed here, given that the risk-free rate is 4% (four percent) and the expected return for the market is 13% (thirteen percent).</w:t>
      </w:r>
    </w:p>
    <w:p w14:paraId="2927F7F2" w14:textId="77777777" w:rsidR="00B51A80" w:rsidRDefault="00B51A80" w:rsidP="00B51A80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970"/>
      </w:tblGrid>
      <w:tr w:rsidR="00B51A80" w:rsidRPr="00B51A80" w14:paraId="226F49CD" w14:textId="77777777" w:rsidTr="00B51A80">
        <w:tc>
          <w:tcPr>
            <w:tcW w:w="2065" w:type="dxa"/>
            <w:vAlign w:val="bottom"/>
          </w:tcPr>
          <w:p w14:paraId="7D5FBA54" w14:textId="77777777" w:rsidR="00B51A80" w:rsidRPr="00B51A80" w:rsidRDefault="00B51A80" w:rsidP="00B51A80">
            <w:pPr>
              <w:rPr>
                <w:rFonts w:ascii="Calibri" w:eastAsia="Times New Roman" w:hAnsi="Calibri" w:cs="Times New Roman"/>
                <w:b/>
              </w:rPr>
            </w:pPr>
            <w:r w:rsidRPr="00B51A80">
              <w:rPr>
                <w:rFonts w:ascii="Calibri" w:eastAsia="Times New Roman" w:hAnsi="Calibri" w:cs="Times New Roman"/>
                <w:b/>
              </w:rPr>
              <w:t>DATA</w:t>
            </w:r>
          </w:p>
        </w:tc>
        <w:tc>
          <w:tcPr>
            <w:tcW w:w="2970" w:type="dxa"/>
          </w:tcPr>
          <w:p w14:paraId="5C7C2A4A" w14:textId="77777777" w:rsidR="00B51A80" w:rsidRPr="00B51A80" w:rsidRDefault="00B51A80" w:rsidP="00B51A80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  <w:tr w:rsidR="00B51A80" w14:paraId="54453FAA" w14:textId="77777777" w:rsidTr="00B51A80">
        <w:tc>
          <w:tcPr>
            <w:tcW w:w="2065" w:type="dxa"/>
            <w:vAlign w:val="bottom"/>
          </w:tcPr>
          <w:p w14:paraId="226F0D0C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0" w:type="dxa"/>
          </w:tcPr>
          <w:p w14:paraId="19545B74" w14:textId="77777777" w:rsidR="00B51A80" w:rsidRDefault="00B51A80" w:rsidP="00B51A80">
            <w:pPr>
              <w:rPr>
                <w:rFonts w:eastAsia="Times New Roman" w:cs="Times New Roman"/>
                <w:szCs w:val="24"/>
              </w:rPr>
            </w:pPr>
          </w:p>
        </w:tc>
      </w:tr>
      <w:tr w:rsidR="00B51A80" w14:paraId="3CF97C09" w14:textId="77777777" w:rsidTr="00B51A80">
        <w:tc>
          <w:tcPr>
            <w:tcW w:w="2065" w:type="dxa"/>
            <w:vAlign w:val="bottom"/>
          </w:tcPr>
          <w:p w14:paraId="7FA84461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Stock</w:t>
            </w:r>
          </w:p>
        </w:tc>
        <w:tc>
          <w:tcPr>
            <w:tcW w:w="2970" w:type="dxa"/>
            <w:vAlign w:val="bottom"/>
          </w:tcPr>
          <w:p w14:paraId="75544574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Beta</w:t>
            </w:r>
          </w:p>
        </w:tc>
      </w:tr>
      <w:tr w:rsidR="00B51A80" w14:paraId="078BFDBC" w14:textId="77777777" w:rsidTr="00B51A80">
        <w:tc>
          <w:tcPr>
            <w:tcW w:w="2065" w:type="dxa"/>
            <w:vAlign w:val="bottom"/>
          </w:tcPr>
          <w:p w14:paraId="4A1839B7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2970" w:type="dxa"/>
            <w:vAlign w:val="bottom"/>
          </w:tcPr>
          <w:p w14:paraId="1E6AF028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0.70</w:t>
            </w:r>
          </w:p>
        </w:tc>
      </w:tr>
      <w:tr w:rsidR="00B51A80" w14:paraId="686C20A9" w14:textId="77777777" w:rsidTr="00B51A80">
        <w:tc>
          <w:tcPr>
            <w:tcW w:w="2065" w:type="dxa"/>
            <w:vAlign w:val="bottom"/>
          </w:tcPr>
          <w:p w14:paraId="2091C88D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B</w:t>
            </w:r>
          </w:p>
        </w:tc>
        <w:tc>
          <w:tcPr>
            <w:tcW w:w="2970" w:type="dxa"/>
            <w:vAlign w:val="bottom"/>
          </w:tcPr>
          <w:p w14:paraId="13C785FE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0.85</w:t>
            </w:r>
          </w:p>
        </w:tc>
      </w:tr>
      <w:tr w:rsidR="00B51A80" w14:paraId="77257396" w14:textId="77777777" w:rsidTr="00B51A80">
        <w:tc>
          <w:tcPr>
            <w:tcW w:w="2065" w:type="dxa"/>
            <w:vAlign w:val="bottom"/>
          </w:tcPr>
          <w:p w14:paraId="172DE6DD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2970" w:type="dxa"/>
            <w:vAlign w:val="bottom"/>
          </w:tcPr>
          <w:p w14:paraId="56FE5C3D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1.50</w:t>
            </w:r>
          </w:p>
        </w:tc>
      </w:tr>
      <w:tr w:rsidR="00B51A80" w14:paraId="68E6275E" w14:textId="77777777" w:rsidTr="00B51A80">
        <w:tc>
          <w:tcPr>
            <w:tcW w:w="2065" w:type="dxa"/>
            <w:vAlign w:val="bottom"/>
          </w:tcPr>
          <w:p w14:paraId="72D0431E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0" w:type="dxa"/>
            <w:vAlign w:val="bottom"/>
          </w:tcPr>
          <w:p w14:paraId="3AABB907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</w:p>
        </w:tc>
      </w:tr>
      <w:tr w:rsidR="00B51A80" w14:paraId="618874F5" w14:textId="77777777" w:rsidTr="00B51A80">
        <w:tc>
          <w:tcPr>
            <w:tcW w:w="2065" w:type="dxa"/>
            <w:vAlign w:val="bottom"/>
          </w:tcPr>
          <w:p w14:paraId="60813B94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Risk-free rate</w:t>
            </w:r>
          </w:p>
        </w:tc>
        <w:tc>
          <w:tcPr>
            <w:tcW w:w="2970" w:type="dxa"/>
            <w:vAlign w:val="bottom"/>
          </w:tcPr>
          <w:p w14:paraId="58D79553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4%</w:t>
            </w:r>
          </w:p>
        </w:tc>
      </w:tr>
      <w:tr w:rsidR="00B51A80" w14:paraId="1F6D6D88" w14:textId="77777777" w:rsidTr="00B51A80">
        <w:tc>
          <w:tcPr>
            <w:tcW w:w="2065" w:type="dxa"/>
            <w:vAlign w:val="bottom"/>
          </w:tcPr>
          <w:p w14:paraId="4AFBB2BF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Market rate</w:t>
            </w:r>
          </w:p>
        </w:tc>
        <w:tc>
          <w:tcPr>
            <w:tcW w:w="2970" w:type="dxa"/>
            <w:vAlign w:val="bottom"/>
          </w:tcPr>
          <w:p w14:paraId="350517C3" w14:textId="77777777" w:rsidR="00B51A80" w:rsidRPr="005577E8" w:rsidRDefault="00B51A80" w:rsidP="00B51A80">
            <w:pPr>
              <w:jc w:val="center"/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13%</w:t>
            </w:r>
          </w:p>
        </w:tc>
      </w:tr>
    </w:tbl>
    <w:p w14:paraId="440FBE24" w14:textId="77777777" w:rsidR="00B51A80" w:rsidRDefault="00B51A80" w:rsidP="00B51A80">
      <w:pPr>
        <w:spacing w:after="0" w:line="240" w:lineRule="auto"/>
        <w:rPr>
          <w:rFonts w:eastAsia="Times New Roman" w:cs="Times New Roman"/>
          <w:szCs w:val="24"/>
        </w:rPr>
      </w:pPr>
    </w:p>
    <w:p w14:paraId="2AFE4CB6" w14:textId="77777777" w:rsidR="00DE7D5F" w:rsidRDefault="00B51A80" w:rsidP="00DE7D5F">
      <w:pPr>
        <w:spacing w:after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Solution</w:t>
      </w:r>
    </w:p>
    <w:p w14:paraId="78D1AF97" w14:textId="77777777" w:rsidR="00B51A80" w:rsidRDefault="00B51A80" w:rsidP="00DE7D5F">
      <w:pPr>
        <w:spacing w:after="0"/>
        <w:rPr>
          <w:rFonts w:eastAsia="Times New Roman" w:cs="Times New Roman"/>
          <w:b/>
          <w:szCs w:val="24"/>
        </w:rPr>
      </w:pPr>
    </w:p>
    <w:p w14:paraId="1F4A2D04" w14:textId="77777777" w:rsidR="00B51A80" w:rsidRDefault="00B51A80" w:rsidP="00DE7D5F">
      <w:pPr>
        <w:spacing w:after="0"/>
        <w:rPr>
          <w:rFonts w:eastAsia="Times New Roman"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970"/>
      </w:tblGrid>
      <w:tr w:rsidR="00B51A80" w:rsidRPr="00B51A80" w14:paraId="3FE9EEB9" w14:textId="77777777" w:rsidTr="00926D8B">
        <w:trPr>
          <w:trHeight w:val="432"/>
        </w:trPr>
        <w:tc>
          <w:tcPr>
            <w:tcW w:w="2065" w:type="dxa"/>
            <w:tcBorders>
              <w:bottom w:val="single" w:sz="4" w:space="0" w:color="auto"/>
            </w:tcBorders>
            <w:vAlign w:val="bottom"/>
          </w:tcPr>
          <w:p w14:paraId="7BADC159" w14:textId="77777777" w:rsidR="00B51A80" w:rsidRPr="00B51A80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B51A80">
              <w:rPr>
                <w:rFonts w:ascii="Calibri" w:eastAsia="Times New Roman" w:hAnsi="Calibri" w:cs="Times New Roman"/>
              </w:rPr>
              <w:t>Stock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53DF7DCC" w14:textId="77777777" w:rsidR="00B51A80" w:rsidRPr="00B51A80" w:rsidRDefault="00B51A80" w:rsidP="00B51A80">
            <w:pPr>
              <w:rPr>
                <w:rFonts w:eastAsia="Times New Roman" w:cs="Times New Roman"/>
                <w:szCs w:val="24"/>
              </w:rPr>
            </w:pPr>
            <w:r w:rsidRPr="00B51A80">
              <w:rPr>
                <w:rFonts w:eastAsia="Times New Roman" w:cs="Times New Roman"/>
                <w:szCs w:val="24"/>
              </w:rPr>
              <w:t>Returns</w:t>
            </w:r>
          </w:p>
        </w:tc>
      </w:tr>
      <w:tr w:rsidR="00B51A80" w14:paraId="1AF1021A" w14:textId="77777777" w:rsidTr="00926D8B">
        <w:trPr>
          <w:trHeight w:val="432"/>
        </w:trPr>
        <w:tc>
          <w:tcPr>
            <w:tcW w:w="20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C781377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F710D" w14:textId="77777777" w:rsidR="00B51A80" w:rsidRDefault="00B51A80" w:rsidP="00B51A80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  <w:tr w:rsidR="00B51A80" w14:paraId="10CF791D" w14:textId="77777777" w:rsidTr="00B51A80">
        <w:trPr>
          <w:trHeight w:val="432"/>
        </w:trPr>
        <w:tc>
          <w:tcPr>
            <w:tcW w:w="2065" w:type="dxa"/>
            <w:tcBorders>
              <w:right w:val="single" w:sz="4" w:space="0" w:color="auto"/>
            </w:tcBorders>
            <w:vAlign w:val="bottom"/>
          </w:tcPr>
          <w:p w14:paraId="2AEA5505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75C8" w14:textId="77777777" w:rsidR="00B51A80" w:rsidRDefault="00B51A80" w:rsidP="00B51A80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  <w:tr w:rsidR="00B51A80" w14:paraId="4F0DC4C3" w14:textId="77777777" w:rsidTr="00B51A80">
        <w:trPr>
          <w:trHeight w:val="432"/>
        </w:trPr>
        <w:tc>
          <w:tcPr>
            <w:tcW w:w="2065" w:type="dxa"/>
            <w:tcBorders>
              <w:right w:val="single" w:sz="4" w:space="0" w:color="auto"/>
            </w:tcBorders>
            <w:vAlign w:val="bottom"/>
          </w:tcPr>
          <w:p w14:paraId="0265FFF7" w14:textId="77777777" w:rsidR="00B51A80" w:rsidRPr="005577E8" w:rsidRDefault="00B51A80" w:rsidP="00B51A80">
            <w:pPr>
              <w:rPr>
                <w:rFonts w:ascii="Calibri" w:eastAsia="Times New Roman" w:hAnsi="Calibri" w:cs="Times New Roman"/>
              </w:rPr>
            </w:pPr>
            <w:r w:rsidRPr="005577E8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6393" w14:textId="77777777" w:rsidR="00B51A80" w:rsidRDefault="00B51A80" w:rsidP="00B51A80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</w:tbl>
    <w:p w14:paraId="5E424CD2" w14:textId="77777777" w:rsidR="00B51A80" w:rsidRDefault="00B51A80" w:rsidP="00DE7D5F">
      <w:pPr>
        <w:spacing w:after="0"/>
        <w:rPr>
          <w:rFonts w:eastAsia="Times New Roman" w:cs="Times New Roman"/>
          <w:b/>
          <w:szCs w:val="24"/>
        </w:rPr>
      </w:pPr>
    </w:p>
    <w:p w14:paraId="308A0848" w14:textId="77777777" w:rsidR="00B51A80" w:rsidRPr="00B51A80" w:rsidRDefault="00B51A80" w:rsidP="00DE7D5F">
      <w:pPr>
        <w:spacing w:after="0"/>
        <w:rPr>
          <w:rFonts w:eastAsia="Times New Roman" w:cs="Times New Roman"/>
          <w:b/>
          <w:szCs w:val="24"/>
        </w:rPr>
      </w:pPr>
    </w:p>
    <w:p w14:paraId="3A6C6C87" w14:textId="77777777" w:rsidR="00DE7D5F" w:rsidRDefault="00DE7D5F" w:rsidP="00DE7D5F">
      <w:pPr>
        <w:spacing w:after="0"/>
        <w:rPr>
          <w:sz w:val="20"/>
        </w:rPr>
      </w:pPr>
    </w:p>
    <w:p w14:paraId="6C8C3D9F" w14:textId="77777777" w:rsidR="00C16193" w:rsidRPr="00DF5F38" w:rsidRDefault="00C16193" w:rsidP="00DE7D5F">
      <w:pPr>
        <w:spacing w:after="0"/>
        <w:rPr>
          <w:b/>
        </w:rPr>
      </w:pPr>
      <w:r w:rsidRPr="00DF5F38">
        <w:rPr>
          <w:b/>
        </w:rPr>
        <w:t>Problem 7-4: Breakeven Point and Selling Price</w:t>
      </w:r>
    </w:p>
    <w:p w14:paraId="5B250102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Medina Industries will manufacture and sell 400,000 units next year. Fixed costs will total SAR 550,000, and variable costs will be 54% (fifty-four percent) of sales.</w:t>
      </w:r>
    </w:p>
    <w:p w14:paraId="35A49A7F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06C7BBC7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a. The firm wants to achieve a level of earnings before interest and taxes of SAR 450,000. What selling price per unit is necessary to achieve this result?</w:t>
      </w:r>
    </w:p>
    <w:p w14:paraId="377B7944" w14:textId="77777777" w:rsidR="00C16193" w:rsidRP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16E7F37B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b. Set up a pro forma income statement to verify your solution to part a.</w:t>
      </w:r>
    </w:p>
    <w:p w14:paraId="5B747DFD" w14:textId="77777777" w:rsidR="003D4C3B" w:rsidRDefault="003D4C3B" w:rsidP="00C16193">
      <w:pPr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615"/>
      </w:tblGrid>
      <w:tr w:rsidR="003D4C3B" w:rsidRPr="003D4C3B" w14:paraId="3F4569C5" w14:textId="77777777" w:rsidTr="00A00166">
        <w:tc>
          <w:tcPr>
            <w:tcW w:w="1975" w:type="dxa"/>
            <w:vAlign w:val="bottom"/>
          </w:tcPr>
          <w:p w14:paraId="1F12379E" w14:textId="77777777" w:rsidR="003D4C3B" w:rsidRPr="003D4C3B" w:rsidRDefault="003D4C3B" w:rsidP="003D4C3B">
            <w:pPr>
              <w:rPr>
                <w:rFonts w:eastAsia="Times New Roman" w:cs="Times New Roman"/>
                <w:b/>
              </w:rPr>
            </w:pPr>
            <w:r w:rsidRPr="003D4C3B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2615" w:type="dxa"/>
          </w:tcPr>
          <w:p w14:paraId="18EC60AC" w14:textId="77777777" w:rsidR="003D4C3B" w:rsidRPr="003D4C3B" w:rsidRDefault="003D4C3B" w:rsidP="003D4C3B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  <w:tr w:rsidR="003D4C3B" w14:paraId="26784831" w14:textId="77777777" w:rsidTr="00A00166">
        <w:tc>
          <w:tcPr>
            <w:tcW w:w="1975" w:type="dxa"/>
            <w:vAlign w:val="bottom"/>
          </w:tcPr>
          <w:p w14:paraId="64F788C0" w14:textId="77777777" w:rsidR="003D4C3B" w:rsidRPr="005577E8" w:rsidRDefault="003D4C3B" w:rsidP="003D4C3B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Sell</w:t>
            </w:r>
          </w:p>
        </w:tc>
        <w:tc>
          <w:tcPr>
            <w:tcW w:w="2615" w:type="dxa"/>
            <w:vAlign w:val="bottom"/>
          </w:tcPr>
          <w:p w14:paraId="074613F5" w14:textId="77777777" w:rsidR="003D4C3B" w:rsidRPr="005577E8" w:rsidRDefault="003D4C3B" w:rsidP="003D4C3B">
            <w:pPr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 xml:space="preserve">400,000 </w:t>
            </w:r>
          </w:p>
        </w:tc>
      </w:tr>
      <w:tr w:rsidR="003D4C3B" w14:paraId="699911EF" w14:textId="77777777" w:rsidTr="00A00166">
        <w:tc>
          <w:tcPr>
            <w:tcW w:w="1975" w:type="dxa"/>
            <w:vAlign w:val="bottom"/>
          </w:tcPr>
          <w:p w14:paraId="6F763D64" w14:textId="77777777" w:rsidR="003D4C3B" w:rsidRPr="005577E8" w:rsidRDefault="003D4C3B" w:rsidP="003D4C3B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Fixed Costs</w:t>
            </w:r>
          </w:p>
        </w:tc>
        <w:tc>
          <w:tcPr>
            <w:tcW w:w="2615" w:type="dxa"/>
            <w:vAlign w:val="bottom"/>
          </w:tcPr>
          <w:p w14:paraId="261E0B02" w14:textId="77777777" w:rsidR="003D4C3B" w:rsidRPr="005577E8" w:rsidRDefault="003D4C3B" w:rsidP="003D4C3B">
            <w:pPr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 xml:space="preserve">550,000 </w:t>
            </w:r>
          </w:p>
        </w:tc>
      </w:tr>
      <w:tr w:rsidR="003D4C3B" w14:paraId="6DED2A4E" w14:textId="77777777" w:rsidTr="00A00166">
        <w:tc>
          <w:tcPr>
            <w:tcW w:w="1975" w:type="dxa"/>
            <w:vAlign w:val="bottom"/>
          </w:tcPr>
          <w:p w14:paraId="3051DF3B" w14:textId="77777777" w:rsidR="003D4C3B" w:rsidRPr="005577E8" w:rsidRDefault="003D4C3B" w:rsidP="003D4C3B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Variable Costs</w:t>
            </w:r>
          </w:p>
        </w:tc>
        <w:tc>
          <w:tcPr>
            <w:tcW w:w="2615" w:type="dxa"/>
            <w:vAlign w:val="bottom"/>
          </w:tcPr>
          <w:p w14:paraId="4FEDB95E" w14:textId="77777777" w:rsidR="003D4C3B" w:rsidRPr="005577E8" w:rsidRDefault="003D4C3B" w:rsidP="003D4C3B">
            <w:pPr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54%</w:t>
            </w:r>
          </w:p>
        </w:tc>
      </w:tr>
    </w:tbl>
    <w:p w14:paraId="3E7CE666" w14:textId="77777777" w:rsidR="003D4C3B" w:rsidRDefault="003D4C3B" w:rsidP="00C16193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589FBED4" w14:textId="77777777" w:rsidR="003D4C3B" w:rsidRPr="003D4C3B" w:rsidRDefault="003D4C3B" w:rsidP="00C16193">
      <w:pPr>
        <w:spacing w:after="0" w:line="240" w:lineRule="auto"/>
        <w:rPr>
          <w:rFonts w:eastAsia="Times New Roman" w:cs="Times New Roman"/>
          <w:b/>
          <w:szCs w:val="24"/>
        </w:rPr>
      </w:pPr>
      <w:r w:rsidRPr="003D4C3B">
        <w:rPr>
          <w:rFonts w:eastAsia="Times New Roman" w:cs="Times New Roman"/>
          <w:b/>
          <w:szCs w:val="24"/>
        </w:rPr>
        <w:t>Solution</w:t>
      </w:r>
    </w:p>
    <w:p w14:paraId="0368BAD0" w14:textId="77777777" w:rsidR="00C16193" w:rsidRDefault="00C16193" w:rsidP="00C1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570" w:type="dxa"/>
        <w:tblLook w:val="04A0" w:firstRow="1" w:lastRow="0" w:firstColumn="1" w:lastColumn="0" w:noHBand="0" w:noVBand="1"/>
      </w:tblPr>
      <w:tblGrid>
        <w:gridCol w:w="3960"/>
        <w:gridCol w:w="2610"/>
      </w:tblGrid>
      <w:tr w:rsidR="003D4C3B" w:rsidRPr="00C16193" w14:paraId="12DC574B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7156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A)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DDCA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4C3B" w:rsidRPr="00C16193" w14:paraId="0F83FEE4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819C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EBIT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B56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4C3B" w:rsidRPr="00C16193" w14:paraId="0152E2E9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32D7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Sales =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3CEC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4C3B" w:rsidRPr="00C16193" w14:paraId="6FC79887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A875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Avg selling price =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89F6" w14:textId="77777777" w:rsidR="003D4C3B" w:rsidRPr="005577E8" w:rsidRDefault="003D4C3B" w:rsidP="00EF061D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D4C3B" w:rsidRPr="00C16193" w14:paraId="18797D49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E0A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8E28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4C3B" w:rsidRPr="00C16193" w14:paraId="2B65F3CF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0A74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B)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8B5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4C3B" w:rsidRPr="00C16193" w14:paraId="71D85E42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DB1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Sales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E957" w14:textId="77777777" w:rsidR="003D4C3B" w:rsidRPr="005577E8" w:rsidRDefault="003D4C3B" w:rsidP="00EF061D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D4C3B" w:rsidRPr="00C16193" w14:paraId="665F61B1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0367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Total VC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3434" w14:textId="77777777" w:rsidR="003D4C3B" w:rsidRPr="005577E8" w:rsidRDefault="003D4C3B" w:rsidP="00EF061D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D4C3B" w:rsidRPr="00C16193" w14:paraId="38AEC59D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2FB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Revenue before FC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75A9" w14:textId="77777777" w:rsidR="003D4C3B" w:rsidRPr="005577E8" w:rsidRDefault="003D4C3B" w:rsidP="00EF061D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D4C3B" w:rsidRPr="00C16193" w14:paraId="4871ABED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DD32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Total FC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93BD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4C3B" w:rsidRPr="00C16193" w14:paraId="414F3F34" w14:textId="77777777" w:rsidTr="003D4C3B">
        <w:trPr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7D03" w14:textId="77777777" w:rsidR="003D4C3B" w:rsidRPr="005577E8" w:rsidRDefault="003D4C3B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EBIT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4BC" w14:textId="77777777" w:rsidR="003D4C3B" w:rsidRPr="005577E8" w:rsidRDefault="003D4C3B" w:rsidP="00EF061D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</w:tbl>
    <w:p w14:paraId="18387C7E" w14:textId="77777777" w:rsidR="00C16193" w:rsidRDefault="00C16193" w:rsidP="00C16193">
      <w:pPr>
        <w:spacing w:after="0" w:line="240" w:lineRule="auto"/>
        <w:rPr>
          <w:sz w:val="18"/>
        </w:rPr>
      </w:pPr>
    </w:p>
    <w:p w14:paraId="4A0CB601" w14:textId="77777777" w:rsidR="00C16193" w:rsidRDefault="00C16193" w:rsidP="00C16193">
      <w:pPr>
        <w:spacing w:after="0" w:line="240" w:lineRule="auto"/>
        <w:rPr>
          <w:sz w:val="18"/>
        </w:rPr>
      </w:pPr>
    </w:p>
    <w:p w14:paraId="64AF2219" w14:textId="77777777" w:rsidR="00C16193" w:rsidRDefault="00C16193" w:rsidP="00C16193">
      <w:pPr>
        <w:spacing w:after="0" w:line="240" w:lineRule="auto"/>
        <w:rPr>
          <w:sz w:val="18"/>
        </w:rPr>
      </w:pPr>
    </w:p>
    <w:p w14:paraId="2DBBFBD7" w14:textId="77777777" w:rsidR="00C16193" w:rsidRPr="00DF5F38" w:rsidRDefault="00C16193" w:rsidP="00C16193">
      <w:pPr>
        <w:spacing w:after="0" w:line="240" w:lineRule="auto"/>
        <w:rPr>
          <w:sz w:val="18"/>
        </w:rPr>
      </w:pPr>
      <w:r w:rsidRPr="00DF5F38">
        <w:rPr>
          <w:b/>
        </w:rPr>
        <w:t>Problem 7-5: Operating Leverage</w:t>
      </w:r>
    </w:p>
    <w:p w14:paraId="1FB92A05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 xml:space="preserve">Jeddah Company manufactures a complete line of electronics. The average selling price for the various products is SAR 800. The associated variable cost is SAR 550 per unit. Fixed costs for the firm </w:t>
      </w:r>
      <w:r w:rsidRPr="003643D8">
        <w:rPr>
          <w:rFonts w:eastAsia="Times New Roman" w:cs="Times New Roman"/>
          <w:szCs w:val="24"/>
        </w:rPr>
        <w:t>avera</w:t>
      </w:r>
      <w:r w:rsidR="00FE644E" w:rsidRPr="003643D8">
        <w:rPr>
          <w:rFonts w:eastAsia="Times New Roman" w:cs="Times New Roman"/>
          <w:szCs w:val="24"/>
        </w:rPr>
        <w:t>ge</w:t>
      </w:r>
      <w:r w:rsidR="00FE644E">
        <w:rPr>
          <w:rFonts w:eastAsia="Times New Roman" w:cs="Times New Roman"/>
          <w:szCs w:val="24"/>
        </w:rPr>
        <w:t xml:space="preserve"> </w:t>
      </w:r>
      <w:r w:rsidRPr="005577E8">
        <w:rPr>
          <w:rFonts w:eastAsia="Times New Roman" w:cs="Times New Roman"/>
          <w:szCs w:val="24"/>
        </w:rPr>
        <w:t>SAR 300,000 annually.</w:t>
      </w:r>
    </w:p>
    <w:p w14:paraId="1D8DBD29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619EA256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a. What is the break-even point in units for the company?</w:t>
      </w:r>
    </w:p>
    <w:p w14:paraId="1DC6B248" w14:textId="77777777" w:rsidR="00C16193" w:rsidRP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6AB2435A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b. What is the dollar sales volume the firm must achieve to reach the break-even point?</w:t>
      </w:r>
    </w:p>
    <w:p w14:paraId="53CED3AC" w14:textId="77777777" w:rsidR="00C16193" w:rsidRP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409B509D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lastRenderedPageBreak/>
        <w:t>c. What is the degree of operating leverage (i.e., the ratio of the percent change in EBIT divided by the corresponding percent change in sales) for a production and sales level of 5,000 units for the firm? (Calculate to three decimal places.)</w:t>
      </w:r>
    </w:p>
    <w:p w14:paraId="21707CCA" w14:textId="77777777" w:rsidR="00C16193" w:rsidRP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73701E7B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  <w:r w:rsidRPr="005577E8">
        <w:rPr>
          <w:rFonts w:eastAsia="Times New Roman" w:cs="Times New Roman"/>
          <w:szCs w:val="24"/>
        </w:rPr>
        <w:t>d. What will be the projected effect ono earnings before interest and taxes if the firm's sales level should increase by 15 percent from the volume noted in part c.</w:t>
      </w:r>
    </w:p>
    <w:p w14:paraId="2F4E515E" w14:textId="77777777" w:rsidR="00A00166" w:rsidRDefault="00A00166" w:rsidP="00C16193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975"/>
      </w:tblGrid>
      <w:tr w:rsidR="00A00166" w:rsidRPr="003D4C3B" w14:paraId="751C8280" w14:textId="77777777" w:rsidTr="00A00166">
        <w:tc>
          <w:tcPr>
            <w:tcW w:w="1975" w:type="dxa"/>
            <w:vAlign w:val="bottom"/>
          </w:tcPr>
          <w:p w14:paraId="6A944036" w14:textId="77777777" w:rsidR="00A00166" w:rsidRPr="003D4C3B" w:rsidRDefault="00A00166" w:rsidP="00B570C6">
            <w:pPr>
              <w:rPr>
                <w:rFonts w:eastAsia="Times New Roman" w:cs="Times New Roman"/>
                <w:b/>
              </w:rPr>
            </w:pPr>
            <w:r w:rsidRPr="003D4C3B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2975" w:type="dxa"/>
          </w:tcPr>
          <w:p w14:paraId="5470593E" w14:textId="77777777" w:rsidR="00A00166" w:rsidRPr="003D4C3B" w:rsidRDefault="00A00166" w:rsidP="00B570C6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  <w:tr w:rsidR="00A00166" w14:paraId="54917B27" w14:textId="77777777" w:rsidTr="00A00166">
        <w:tc>
          <w:tcPr>
            <w:tcW w:w="1975" w:type="dxa"/>
            <w:vAlign w:val="bottom"/>
          </w:tcPr>
          <w:p w14:paraId="61C766AD" w14:textId="77777777" w:rsidR="00A00166" w:rsidRPr="005577E8" w:rsidRDefault="00A00166" w:rsidP="00A00166">
            <w:pPr>
              <w:rPr>
                <w:rFonts w:eastAsia="Times New Roman" w:cs="Times New Roman"/>
              </w:rPr>
            </w:pPr>
            <w:proofErr w:type="spellStart"/>
            <w:r w:rsidRPr="005577E8">
              <w:rPr>
                <w:rFonts w:eastAsia="Times New Roman" w:cs="Times New Roman"/>
              </w:rPr>
              <w:t>Avg</w:t>
            </w:r>
            <w:proofErr w:type="spellEnd"/>
            <w:r w:rsidRPr="005577E8">
              <w:rPr>
                <w:rFonts w:eastAsia="Times New Roman" w:cs="Times New Roman"/>
              </w:rPr>
              <w:t xml:space="preserve"> selling price</w:t>
            </w:r>
          </w:p>
        </w:tc>
        <w:tc>
          <w:tcPr>
            <w:tcW w:w="2975" w:type="dxa"/>
            <w:vAlign w:val="bottom"/>
          </w:tcPr>
          <w:p w14:paraId="39BAF68E" w14:textId="77777777" w:rsidR="00A00166" w:rsidRPr="003643D8" w:rsidRDefault="00A00166" w:rsidP="00A00166">
            <w:pPr>
              <w:jc w:val="right"/>
              <w:rPr>
                <w:rFonts w:eastAsia="Times New Roman" w:cs="Times New Roman"/>
              </w:rPr>
            </w:pPr>
            <w:r w:rsidRPr="003643D8">
              <w:rPr>
                <w:rFonts w:eastAsia="Times New Roman" w:cs="Times New Roman"/>
              </w:rPr>
              <w:t xml:space="preserve">800 </w:t>
            </w:r>
          </w:p>
        </w:tc>
      </w:tr>
      <w:tr w:rsidR="00A00166" w14:paraId="0F6B052D" w14:textId="77777777" w:rsidTr="00A00166">
        <w:tc>
          <w:tcPr>
            <w:tcW w:w="1975" w:type="dxa"/>
            <w:vAlign w:val="bottom"/>
          </w:tcPr>
          <w:p w14:paraId="6C2E71A4" w14:textId="77777777" w:rsidR="00A00166" w:rsidRPr="005577E8" w:rsidRDefault="00A00166" w:rsidP="00A00166">
            <w:pPr>
              <w:rPr>
                <w:rFonts w:eastAsia="Times New Roman" w:cs="Times New Roman"/>
              </w:rPr>
            </w:pPr>
            <w:proofErr w:type="spellStart"/>
            <w:r w:rsidRPr="005577E8">
              <w:rPr>
                <w:rFonts w:eastAsia="Times New Roman" w:cs="Times New Roman"/>
              </w:rPr>
              <w:t>Avg</w:t>
            </w:r>
            <w:proofErr w:type="spellEnd"/>
            <w:r w:rsidRPr="005577E8">
              <w:rPr>
                <w:rFonts w:eastAsia="Times New Roman" w:cs="Times New Roman"/>
              </w:rPr>
              <w:t xml:space="preserve"> Variable Cost</w:t>
            </w:r>
          </w:p>
        </w:tc>
        <w:tc>
          <w:tcPr>
            <w:tcW w:w="2975" w:type="dxa"/>
            <w:vAlign w:val="bottom"/>
          </w:tcPr>
          <w:p w14:paraId="4CCA7EB0" w14:textId="77777777" w:rsidR="00A00166" w:rsidRPr="003643D8" w:rsidRDefault="00A00166" w:rsidP="00A00166">
            <w:pPr>
              <w:jc w:val="right"/>
              <w:rPr>
                <w:rFonts w:eastAsia="Times New Roman" w:cs="Times New Roman"/>
              </w:rPr>
            </w:pPr>
            <w:r w:rsidRPr="003643D8">
              <w:rPr>
                <w:rFonts w:eastAsia="Times New Roman" w:cs="Times New Roman"/>
              </w:rPr>
              <w:t>550</w:t>
            </w:r>
          </w:p>
        </w:tc>
      </w:tr>
      <w:tr w:rsidR="00A00166" w14:paraId="4D934116" w14:textId="77777777" w:rsidTr="00A00166">
        <w:tc>
          <w:tcPr>
            <w:tcW w:w="1975" w:type="dxa"/>
            <w:vAlign w:val="bottom"/>
          </w:tcPr>
          <w:p w14:paraId="17B23DA8" w14:textId="77777777" w:rsidR="00A00166" w:rsidRPr="005577E8" w:rsidRDefault="00A00166" w:rsidP="00A00166">
            <w:pPr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Fixed costs</w:t>
            </w:r>
          </w:p>
        </w:tc>
        <w:tc>
          <w:tcPr>
            <w:tcW w:w="2975" w:type="dxa"/>
            <w:vAlign w:val="bottom"/>
          </w:tcPr>
          <w:p w14:paraId="2BF41340" w14:textId="77777777" w:rsidR="00A00166" w:rsidRPr="003643D8" w:rsidRDefault="00A00166" w:rsidP="00A00166">
            <w:pPr>
              <w:jc w:val="right"/>
              <w:rPr>
                <w:rFonts w:eastAsia="Times New Roman" w:cs="Times New Roman"/>
              </w:rPr>
            </w:pPr>
            <w:r w:rsidRPr="003643D8">
              <w:rPr>
                <w:rFonts w:eastAsia="Times New Roman" w:cs="Times New Roman"/>
              </w:rPr>
              <w:t>300,000</w:t>
            </w:r>
          </w:p>
        </w:tc>
      </w:tr>
    </w:tbl>
    <w:p w14:paraId="2534C3BB" w14:textId="77777777" w:rsidR="00A00166" w:rsidRDefault="00A00166" w:rsidP="00C16193">
      <w:pPr>
        <w:spacing w:after="0" w:line="240" w:lineRule="auto"/>
        <w:rPr>
          <w:rFonts w:eastAsia="Times New Roman" w:cs="Times New Roman"/>
          <w:szCs w:val="24"/>
        </w:rPr>
      </w:pPr>
    </w:p>
    <w:p w14:paraId="7445B57F" w14:textId="77777777" w:rsidR="00A00166" w:rsidRPr="00A00166" w:rsidRDefault="00A00166" w:rsidP="00C16193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Solution</w:t>
      </w:r>
    </w:p>
    <w:p w14:paraId="3150BDCD" w14:textId="77777777" w:rsidR="00C16193" w:rsidRDefault="00C16193" w:rsidP="00C16193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3420"/>
        <w:gridCol w:w="2340"/>
      </w:tblGrid>
      <w:tr w:rsidR="00A00166" w:rsidRPr="005577E8" w14:paraId="63204CF7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3446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A)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09E4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00166" w:rsidRPr="005577E8" w14:paraId="34805622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C90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Breakeven p</w:t>
            </w:r>
            <w:r>
              <w:rPr>
                <w:rFonts w:eastAsia="Times New Roman" w:cs="Times New Roman"/>
              </w:rPr>
              <w:t>oin</w:t>
            </w:r>
            <w:r w:rsidRPr="005577E8">
              <w:rPr>
                <w:rFonts w:eastAsia="Times New Roman" w:cs="Times New Roman"/>
              </w:rPr>
              <w:t>t in units 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28A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 </w:t>
            </w:r>
          </w:p>
        </w:tc>
      </w:tr>
      <w:tr w:rsidR="00A00166" w:rsidRPr="005577E8" w14:paraId="20EA8DAF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3390" w14:textId="77777777" w:rsidR="00A00166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D47F3A7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B)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2D6E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A00166" w:rsidRPr="005577E8" w14:paraId="508753FB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394E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Sales volume 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5128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 </w:t>
            </w:r>
          </w:p>
        </w:tc>
      </w:tr>
      <w:tr w:rsidR="00A00166" w:rsidRPr="005577E8" w14:paraId="222F975C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A61D" w14:textId="77777777" w:rsidR="00A00166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ACA8FE3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C)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9EE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A00166" w:rsidRPr="005577E8" w14:paraId="4A4D1640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6B3B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Sales level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82DD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A00166" w:rsidRPr="005577E8" w14:paraId="1E53AACC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7769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Operating leverage 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A8AB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 </w:t>
            </w:r>
          </w:p>
        </w:tc>
      </w:tr>
      <w:tr w:rsidR="00A00166" w:rsidRPr="005577E8" w14:paraId="61F5E2A2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258F" w14:textId="77777777" w:rsidR="00A00166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4C9A36F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D)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3E9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A00166" w:rsidRPr="005577E8" w14:paraId="4943E3AD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5DC2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Sales increase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AD74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A00166" w:rsidRPr="005577E8" w14:paraId="09A09716" w14:textId="77777777" w:rsidTr="00A00166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7F4" w14:textId="77777777" w:rsidR="00A00166" w:rsidRPr="005577E8" w:rsidRDefault="00A00166" w:rsidP="00EF061D">
            <w:pPr>
              <w:spacing w:after="0" w:line="240" w:lineRule="auto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EBIT increase 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8E4" w14:textId="77777777" w:rsidR="00A00166" w:rsidRPr="005577E8" w:rsidRDefault="00A00166" w:rsidP="00A0016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5577E8">
              <w:rPr>
                <w:rFonts w:eastAsia="Times New Roman" w:cs="Times New Roman"/>
              </w:rPr>
              <w:t> </w:t>
            </w:r>
          </w:p>
        </w:tc>
      </w:tr>
    </w:tbl>
    <w:p w14:paraId="70D0DBD0" w14:textId="77777777" w:rsidR="00C16193" w:rsidRPr="00C16193" w:rsidRDefault="00C16193" w:rsidP="00C16193">
      <w:pPr>
        <w:spacing w:after="0" w:line="240" w:lineRule="auto"/>
        <w:rPr>
          <w:sz w:val="14"/>
        </w:rPr>
      </w:pPr>
      <w:bookmarkStart w:id="0" w:name="_GoBack"/>
      <w:bookmarkEnd w:id="0"/>
    </w:p>
    <w:sectPr w:rsidR="00C16193" w:rsidRPr="00C1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25"/>
    <w:rsid w:val="000404ED"/>
    <w:rsid w:val="003643D8"/>
    <w:rsid w:val="003C0525"/>
    <w:rsid w:val="003D4C3B"/>
    <w:rsid w:val="00466802"/>
    <w:rsid w:val="005B2389"/>
    <w:rsid w:val="0070314B"/>
    <w:rsid w:val="008E491C"/>
    <w:rsid w:val="00926D8B"/>
    <w:rsid w:val="009E7EF3"/>
    <w:rsid w:val="00A00166"/>
    <w:rsid w:val="00AD2559"/>
    <w:rsid w:val="00B47388"/>
    <w:rsid w:val="00B51A80"/>
    <w:rsid w:val="00C16193"/>
    <w:rsid w:val="00DE7D5F"/>
    <w:rsid w:val="00DF5F38"/>
    <w:rsid w:val="00FA31F8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9241"/>
  <w15:chartTrackingRefBased/>
  <w15:docId w15:val="{D466727D-B8A8-4F2C-9DE9-EA5EF47E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486</Words>
  <Characters>2776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</dc:creator>
  <cp:keywords/>
  <dc:description/>
  <cp:lastModifiedBy>Monica Emerich</cp:lastModifiedBy>
  <cp:revision>2</cp:revision>
  <dcterms:created xsi:type="dcterms:W3CDTF">2016-08-26T20:23:00Z</dcterms:created>
  <dcterms:modified xsi:type="dcterms:W3CDTF">2016-08-26T20:23:00Z</dcterms:modified>
</cp:coreProperties>
</file>