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4B7" w:rsidRPr="00DA54FE" w:rsidRDefault="00A47AA1" w:rsidP="00BA16AD">
      <w:pPr>
        <w:pStyle w:val="Title"/>
      </w:pPr>
      <w:r>
        <w:t xml:space="preserve"> </w:t>
      </w:r>
    </w:p>
    <w:p w:rsidR="00B454B7" w:rsidRPr="00DA54FE" w:rsidRDefault="00B454B7" w:rsidP="00BA16AD">
      <w:pPr>
        <w:pStyle w:val="Title"/>
      </w:pPr>
    </w:p>
    <w:p w:rsidR="00B454B7" w:rsidRPr="00DA54FE" w:rsidRDefault="00B454B7" w:rsidP="00BA16AD">
      <w:pPr>
        <w:pStyle w:val="Title"/>
      </w:pPr>
    </w:p>
    <w:p w:rsidR="001A25FD" w:rsidRPr="00DA54FE" w:rsidRDefault="001A25FD" w:rsidP="00BA16AD">
      <w:pPr>
        <w:pStyle w:val="Title"/>
      </w:pPr>
    </w:p>
    <w:p w:rsidR="00AC7F49" w:rsidRDefault="00AC7F49" w:rsidP="00BA16AD">
      <w:pPr>
        <w:pStyle w:val="Title"/>
      </w:pPr>
      <w:bookmarkStart w:id="0" w:name="bkPaperTitl"/>
      <w:bookmarkEnd w:id="0"/>
    </w:p>
    <w:p w:rsidR="00AC7F49" w:rsidRDefault="00AC7F49" w:rsidP="00BA16AD">
      <w:pPr>
        <w:pStyle w:val="Title"/>
      </w:pPr>
    </w:p>
    <w:p w:rsidR="00AC7F49" w:rsidRDefault="00AC7F49" w:rsidP="00BA16AD">
      <w:pPr>
        <w:pStyle w:val="Title"/>
      </w:pPr>
    </w:p>
    <w:p w:rsidR="00AC7F49" w:rsidRDefault="00AC7F49" w:rsidP="00BA16AD">
      <w:pPr>
        <w:pStyle w:val="Title"/>
      </w:pPr>
    </w:p>
    <w:p w:rsidR="00AC7F49" w:rsidRDefault="00AC7F49" w:rsidP="00BA16AD">
      <w:pPr>
        <w:pStyle w:val="Title"/>
      </w:pPr>
    </w:p>
    <w:p w:rsidR="00AC7F49" w:rsidRDefault="00AC7F49" w:rsidP="00BA16AD">
      <w:pPr>
        <w:pStyle w:val="Title"/>
      </w:pPr>
    </w:p>
    <w:p w:rsidR="00715D97" w:rsidRPr="00715D97" w:rsidRDefault="00715D97" w:rsidP="00715D97">
      <w:bookmarkStart w:id="1" w:name="_GoBack"/>
      <w:bookmarkEnd w:id="1"/>
    </w:p>
    <w:p w:rsidR="004D3014" w:rsidRPr="00DA54FE" w:rsidRDefault="004D3014" w:rsidP="00BA16AD">
      <w:pPr>
        <w:pStyle w:val="Title"/>
      </w:pPr>
    </w:p>
    <w:p w:rsidR="002D754D" w:rsidRPr="00DA54FE" w:rsidRDefault="002D754D" w:rsidP="00BA16AD">
      <w:pPr>
        <w:pStyle w:val="Title"/>
      </w:pPr>
    </w:p>
    <w:p w:rsidR="00E52AAE" w:rsidRDefault="002D754D" w:rsidP="00BD4F96">
      <w:r w:rsidRPr="00DA54FE">
        <w:br w:type="page"/>
      </w:r>
    </w:p>
    <w:p w:rsidR="005E298A" w:rsidRPr="005E298A" w:rsidRDefault="005E298A" w:rsidP="005E298A"/>
    <w:p w:rsidR="007526F2" w:rsidRPr="003C3A40" w:rsidRDefault="007526F2" w:rsidP="007526F2">
      <w:pPr>
        <w:jc w:val="center"/>
        <w:rPr>
          <w:b/>
        </w:rPr>
      </w:pPr>
      <w:r w:rsidRPr="003C3A40">
        <w:rPr>
          <w:b/>
        </w:rPr>
        <w:t>Introduction</w:t>
      </w:r>
    </w:p>
    <w:p w:rsidR="007526F2" w:rsidRDefault="007526F2" w:rsidP="007526F2">
      <w:r>
        <w:t xml:space="preserve">Transgender Clinical Services is the planned new division of Dignity Health Inc. that would be established with a mission to provide exclusive out-patient and in-patient medical and counseling services to the transgender groups within the LGBT community in its various locations across the country. The essence of creating this new division for a reputable healthcare organization such as Dignity is to serve a minority group of the population whose special medical and psychological needs have been largely unmet by the traditional public and private health care institutions. Dignity understands that the provision of such services is more than a business but a fulfillment of the </w:t>
      </w:r>
      <w:r w:rsidRPr="00A124C3">
        <w:rPr>
          <w:i/>
        </w:rPr>
        <w:t>hellohumankindness</w:t>
      </w:r>
      <w:r>
        <w:t xml:space="preserve"> mantra and recognition and acceptance of the growing diversity in the United States. The development of an organization’s strategic plan is incomplete without consideration of the outcome of the balanced scorecard analysis of its corporate objectives that are generated through the business model and SWOT analysis. Also, the important role of the communication plan of informing both internal and external stakeholders cannot be performed without information on the financial, internal operations processes, customer value, and learning and growth perspectives. </w:t>
      </w:r>
    </w:p>
    <w:p w:rsidR="007526F2" w:rsidRPr="003C3A40" w:rsidRDefault="007526F2" w:rsidP="007526F2">
      <w:pPr>
        <w:jc w:val="center"/>
        <w:rPr>
          <w:b/>
        </w:rPr>
      </w:pPr>
      <w:r>
        <w:rPr>
          <w:b/>
        </w:rPr>
        <w:t>Strategic Objectives of Transgender Clinical Services</w:t>
      </w:r>
    </w:p>
    <w:p w:rsidR="007526F2" w:rsidRDefault="007526F2" w:rsidP="007526F2">
      <w:r>
        <w:t xml:space="preserve">Transgender Clinical Services is an appropriate strategic business unit of the organization with the objective of acting as a corporate enabler by driving its growth through revenue stream from a new segment of the market. This strategic goal is in tandem with the overall business growth objectives of the enterprise, which </w:t>
      </w:r>
      <w:r w:rsidR="009A5A32">
        <w:t>per</w:t>
      </w:r>
      <w:r>
        <w:t xml:space="preserve"> Kaplan &amp; Norton (2007) is vital to accomplishing current and future performance objective. The balanced scorecard would serve as the management evaluation tool for determining the feasibility of the projections presented during </w:t>
      </w:r>
      <w:r>
        <w:lastRenderedPageBreak/>
        <w:t xml:space="preserve">the business case discussion of the proposal. Its four quadrants contain metrics that are essential in determining the sustainability and viability of the critical areas of the business unit and the models for its operations. Subsequent sections of this paper would examine the quadrants including financial/ shareholder perspective, customer value perspective, internal operations and processes, and learning growth perspective. An additional component to the assessment of the potential of this strategic business unit to accomplish its goals are the implications of the results of the SWOT analysis conducted on it about the market for transgender healthcare services. </w:t>
      </w:r>
    </w:p>
    <w:p w:rsidR="007526F2" w:rsidRPr="003C3A40" w:rsidRDefault="007526F2" w:rsidP="007526F2">
      <w:pPr>
        <w:jc w:val="center"/>
        <w:rPr>
          <w:b/>
        </w:rPr>
      </w:pPr>
      <w:r>
        <w:rPr>
          <w:b/>
        </w:rPr>
        <w:t>Financial Perspective</w:t>
      </w:r>
    </w:p>
    <w:p w:rsidR="007526F2" w:rsidRDefault="007526F2" w:rsidP="007526F2">
      <w:r>
        <w:t xml:space="preserve">Rohm </w:t>
      </w:r>
      <w:r w:rsidRPr="00580ED6">
        <w:t xml:space="preserve">&amp; </w:t>
      </w:r>
      <w:r>
        <w:t xml:space="preserve">Montgomery (2011) stated that one of the purposes of establishing a business unit is to generate adequate revenue that would meet its financial obligations and yield profits. This assertion is the basis of the analysis of the potentials of the clinic to attract paying customers that can be used to maintain steady cash flow that would lead to enough to sustain its success. Outcomes from the SWOT analysis conducted on the SBU showed that there are opportunities that can be harness through the parent company’s strength regarding brand image and customer loyalty. Therefore, the team’s proposed five-year plan is to establish and gradually increase the company’s market share for transgender health services by at least 5percent from the second year of operations to 20percent by the fifth year. This conservative projection would give the management team time to align the clinic’s operations to provide quality care services at a premium price. The steady growth in the market share is expected to contribute to a minimum of 10, 12, 15, 25, and 30 percent of annual revenue growth in year 1, 2, 3, 4, and 5 respectively. The short and long-term profitability goal is to maintain a high-quality and affordable in-patient and out-patient services that lead to consistent cash flow required to meet operating expenses. </w:t>
      </w:r>
    </w:p>
    <w:p w:rsidR="007526F2" w:rsidRDefault="007526F2" w:rsidP="007526F2">
      <w:pPr>
        <w:jc w:val="center"/>
        <w:rPr>
          <w:b/>
        </w:rPr>
      </w:pPr>
    </w:p>
    <w:p w:rsidR="007526F2" w:rsidRPr="003C3A40" w:rsidRDefault="007526F2" w:rsidP="007526F2">
      <w:pPr>
        <w:jc w:val="center"/>
        <w:rPr>
          <w:b/>
        </w:rPr>
      </w:pPr>
      <w:r>
        <w:rPr>
          <w:b/>
        </w:rPr>
        <w:lastRenderedPageBreak/>
        <w:t>Customer Value Perspective</w:t>
      </w:r>
    </w:p>
    <w:p w:rsidR="007526F2" w:rsidRDefault="007526F2" w:rsidP="007526F2">
      <w:r>
        <w:t>According to Murby &amp; Gould (2005), customer satisfaction is no longer the minimum standard of measurement of a firm’s performance but an obligation to create superior value for those that purchase its products or services. This premise would define how Transgender Clinical Services would strive towards meeting and exceeding the expectations of both internal and external customers. In the case of the proposed hospital division, the clinical and non-clinical staffs are the internal ones while the patients, their friends and relatives, insurance companies, and referring agencies and physicians are the external ones. One of the measures to accomplish this objective is to ensure that the innovative treatments regarding physical and mental therapy, as well as the hormonal-based ones, are delivered in a manner that their outcomes meet the quality of life benchmarks of patients and payers. Also, the primary care service, which is another critical component of the SBU, would focus on screening for acute illnesses that result from the administration of the medications and procedures for transgender and gender non-conforming patients. A measurement of the unit’s performance in this strategic area would be the use of the nursing scorecard for internal customers and feedback survey of external ones that would be measured with the Picker Scale.</w:t>
      </w:r>
    </w:p>
    <w:p w:rsidR="007526F2" w:rsidRPr="003C3A40" w:rsidRDefault="007526F2" w:rsidP="007526F2">
      <w:pPr>
        <w:jc w:val="center"/>
        <w:rPr>
          <w:b/>
        </w:rPr>
      </w:pPr>
      <w:r>
        <w:rPr>
          <w:b/>
        </w:rPr>
        <w:t>Internal Operations or Process Perspective</w:t>
      </w:r>
    </w:p>
    <w:p w:rsidR="007526F2" w:rsidRPr="005238E1" w:rsidRDefault="007526F2" w:rsidP="007526F2">
      <w:r w:rsidRPr="00882003">
        <w:t>Dysart</w:t>
      </w:r>
      <w:r>
        <w:t>-</w:t>
      </w:r>
      <w:r w:rsidRPr="00882003">
        <w:t>Gale, D. (2010)</w:t>
      </w:r>
      <w:r>
        <w:t xml:space="preserve"> explained that the link between the internal business operations of a clinic that provides care services to the transgender and gender non-conforming patients to customer measures must be established to ensure the maintenance of the latter. The team’s approach to attain this operational standard is the implementation of a system that allows prepared orders to be driven by the number of services and interventions required by the patient. Furthermore, the process would be structured in a manner that compels case managers to </w:t>
      </w:r>
      <w:r>
        <w:lastRenderedPageBreak/>
        <w:t xml:space="preserve">maintain a balance between in-patient and out-patient care services per the needs of the patients. This process would be enhanced by information derived from the clinic’s research on the demographics and epidemiology of these patients and their cases. </w:t>
      </w:r>
    </w:p>
    <w:p w:rsidR="007526F2" w:rsidRPr="003C3A40" w:rsidRDefault="007526F2" w:rsidP="007526F2">
      <w:pPr>
        <w:jc w:val="center"/>
        <w:rPr>
          <w:b/>
        </w:rPr>
      </w:pPr>
      <w:r>
        <w:rPr>
          <w:b/>
        </w:rPr>
        <w:t>Learning and Growth Perspective</w:t>
      </w:r>
    </w:p>
    <w:p w:rsidR="007526F2" w:rsidRDefault="007526F2" w:rsidP="007526F2">
      <w:r>
        <w:t xml:space="preserve">The approach that Transgender Clinical Services would employ in its pursuit to maintain this component of the balanced scorecard is the institution of the Advanced LGBT Support Course (ALSC) for its clinical and non-clinical employees. One of the core components of the ALSC is the bi-weekly morning training for new clinical employees on the peculiarity of the medical services required by transgender patients to augment their basic medical knowledge. Also, one of the benefits of this educational program is the discriminatory tendencies of the employees that might have been acquired from the traditional would be reduced through information on their duties and the ethical implications of the services provided by the clinic. </w:t>
      </w:r>
    </w:p>
    <w:p w:rsidR="007526F2" w:rsidRPr="003C3A40" w:rsidRDefault="007526F2" w:rsidP="007526F2">
      <w:pPr>
        <w:jc w:val="center"/>
        <w:rPr>
          <w:b/>
        </w:rPr>
      </w:pPr>
      <w:r>
        <w:rPr>
          <w:b/>
        </w:rPr>
        <w:t xml:space="preserve">Communication Plan </w:t>
      </w:r>
    </w:p>
    <w:p w:rsidR="007526F2" w:rsidRDefault="007526F2" w:rsidP="007526F2">
      <w:r>
        <w:t>A communication plan is necessary for informing internal and external stakeholders on the performance of the clinic regarding the introduction of new ideas, issues, and the environmental factors that can affect its operations. Also, measures to address challenges by the team and patients in accessing our services would be of the communication materials that would be distributed using their preferred means out of the designated ones including email, print materials, and telephone calls. The essence of devising this plan is that it would allow the team to determine and monitor the target for each component of the balanced scorecard, as well as providing an opportunity for management to have a broader view of the impacts of each of the functional component in the business.</w:t>
      </w:r>
    </w:p>
    <w:p w:rsidR="007526F2" w:rsidRDefault="007526F2" w:rsidP="007526F2">
      <w:pPr>
        <w:jc w:val="center"/>
      </w:pPr>
    </w:p>
    <w:p w:rsidR="007526F2" w:rsidRDefault="007526F2" w:rsidP="007526F2">
      <w:pPr>
        <w:jc w:val="center"/>
      </w:pPr>
    </w:p>
    <w:p w:rsidR="007526F2" w:rsidRPr="00DD7776" w:rsidRDefault="007526F2" w:rsidP="007526F2">
      <w:pPr>
        <w:jc w:val="center"/>
      </w:pPr>
      <w:r>
        <w:t>References</w:t>
      </w:r>
      <w:r>
        <w:tab/>
      </w:r>
    </w:p>
    <w:p w:rsidR="007526F2" w:rsidRDefault="007526F2" w:rsidP="007526F2">
      <w:pPr>
        <w:ind w:left="720" w:hanging="720"/>
      </w:pPr>
      <w:r w:rsidRPr="00882003">
        <w:t>Dysart</w:t>
      </w:r>
      <w:r>
        <w:t>-</w:t>
      </w:r>
      <w:r w:rsidRPr="00882003">
        <w:t>Gale, D. (2010). Social justice and social determinants of health: Lesbian, gay, bisexual, transgendered, intersexed, and queer youth in Canada. </w:t>
      </w:r>
      <w:r w:rsidRPr="00882003">
        <w:rPr>
          <w:i/>
          <w:iCs/>
        </w:rPr>
        <w:t>Journal of Child and Adolescent Psychiatric Nursing</w:t>
      </w:r>
      <w:r w:rsidRPr="00882003">
        <w:t>, </w:t>
      </w:r>
      <w:r w:rsidRPr="00882003">
        <w:rPr>
          <w:i/>
          <w:iCs/>
        </w:rPr>
        <w:t>23</w:t>
      </w:r>
      <w:r w:rsidRPr="00882003">
        <w:t>(1), 23-28</w:t>
      </w:r>
    </w:p>
    <w:p w:rsidR="007526F2" w:rsidRDefault="007526F2" w:rsidP="007526F2">
      <w:pPr>
        <w:ind w:left="720" w:hanging="720"/>
      </w:pPr>
      <w:r w:rsidRPr="002D1FB6">
        <w:t xml:space="preserve">Kaplan, R. S., &amp; Norton, D. P. (2007). Using </w:t>
      </w:r>
      <w:r>
        <w:t>the Balanced Scorecard as a</w:t>
      </w:r>
      <w:r w:rsidRPr="002D1FB6">
        <w:t xml:space="preserve"> Strategic Management System. </w:t>
      </w:r>
      <w:r w:rsidRPr="002D1FB6">
        <w:rPr>
          <w:i/>
          <w:iCs/>
        </w:rPr>
        <w:t>Harvard Business Review</w:t>
      </w:r>
      <w:r w:rsidRPr="002D1FB6">
        <w:t>, </w:t>
      </w:r>
      <w:r w:rsidRPr="002D1FB6">
        <w:rPr>
          <w:i/>
          <w:iCs/>
        </w:rPr>
        <w:t>85</w:t>
      </w:r>
      <w:r w:rsidRPr="002D1FB6">
        <w:t>(7/8), 150.</w:t>
      </w:r>
    </w:p>
    <w:p w:rsidR="007526F2" w:rsidRDefault="007526F2" w:rsidP="007526F2">
      <w:pPr>
        <w:ind w:left="720" w:hanging="720"/>
      </w:pPr>
      <w:r w:rsidRPr="002D1FB6">
        <w:t>Murby, L., &amp; Gould, S. (2005). </w:t>
      </w:r>
      <w:r w:rsidRPr="002D1FB6">
        <w:rPr>
          <w:i/>
          <w:iCs/>
        </w:rPr>
        <w:t xml:space="preserve">Effective </w:t>
      </w:r>
      <w:r>
        <w:rPr>
          <w:i/>
          <w:iCs/>
        </w:rPr>
        <w:t>Performance Management with t</w:t>
      </w:r>
      <w:r w:rsidRPr="002D1FB6">
        <w:rPr>
          <w:i/>
          <w:iCs/>
        </w:rPr>
        <w:t>he Balanced Scorecard</w:t>
      </w:r>
      <w:r w:rsidRPr="002D1FB6">
        <w:t>. CIMA.</w:t>
      </w:r>
    </w:p>
    <w:p w:rsidR="007526F2" w:rsidRDefault="007526F2" w:rsidP="007526F2">
      <w:pPr>
        <w:ind w:left="720" w:hanging="720"/>
      </w:pPr>
      <w:r w:rsidRPr="00580ED6">
        <w:t xml:space="preserve">Rohm, H., &amp; Montgomery, D. (2011). </w:t>
      </w:r>
      <w:r>
        <w:t>“</w:t>
      </w:r>
      <w:r w:rsidRPr="00580ED6">
        <w:t xml:space="preserve">Link </w:t>
      </w:r>
      <w:r>
        <w:t>sustainability to corporate strategy using t</w:t>
      </w:r>
      <w:r w:rsidRPr="00580ED6">
        <w:t>he balanced scorecard.</w:t>
      </w:r>
      <w:r>
        <w:t xml:space="preserve">” </w:t>
      </w:r>
      <w:r w:rsidRPr="00580ED6">
        <w:rPr>
          <w:iCs/>
        </w:rPr>
        <w:t>Retrieved from http://www. balancedscorecard.org/Portals/0/PDF/LinkingSustainabilitytoCorporateStr</w:t>
      </w:r>
      <w:r>
        <w:rPr>
          <w:iCs/>
        </w:rPr>
        <w:t>ategyUsingtheBalancedScorecard.</w:t>
      </w:r>
      <w:r w:rsidRPr="00580ED6">
        <w:rPr>
          <w:iCs/>
        </w:rPr>
        <w:t>pdf</w:t>
      </w:r>
      <w:r w:rsidRPr="00580ED6">
        <w:t>.</w:t>
      </w:r>
    </w:p>
    <w:p w:rsidR="006D4902" w:rsidRDefault="006D4902" w:rsidP="005E298A">
      <w:pPr>
        <w:pStyle w:val="Bibliography"/>
        <w:ind w:left="0" w:firstLine="0"/>
      </w:pPr>
    </w:p>
    <w:sectPr w:rsidR="006D4902" w:rsidSect="00554119">
      <w:headerReference w:type="default" r:id="rId8"/>
      <w:headerReference w:type="first" r:id="rId9"/>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590" w:rsidRDefault="002D0590" w:rsidP="00BD4F96">
      <w:r>
        <w:separator/>
      </w:r>
    </w:p>
  </w:endnote>
  <w:endnote w:type="continuationSeparator" w:id="0">
    <w:p w:rsidR="002D0590" w:rsidRDefault="002D0590" w:rsidP="00BD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590" w:rsidRDefault="002D0590" w:rsidP="00BD4F96">
      <w:r>
        <w:separator/>
      </w:r>
    </w:p>
  </w:footnote>
  <w:footnote w:type="continuationSeparator" w:id="0">
    <w:p w:rsidR="002D0590" w:rsidRDefault="002D0590" w:rsidP="00BD4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6F2" w:rsidRDefault="007526F2" w:rsidP="007526F2">
    <w:pPr>
      <w:jc w:val="center"/>
    </w:pPr>
    <w:r>
      <w:t>Balanced Scorecard and Communication</w:t>
    </w:r>
  </w:p>
  <w:p w:rsidR="00644EEE" w:rsidRPr="00BD4F96" w:rsidRDefault="00644EEE" w:rsidP="008C73E3">
    <w:pPr>
      <w:pStyle w:val="Tit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EEE" w:rsidRDefault="00644EEE" w:rsidP="00BD4F96">
    <w:pPr>
      <w:pStyle w:val="Header"/>
    </w:pPr>
    <w:r>
      <w:t>R</w:t>
    </w:r>
    <w:r w:rsidR="00715D97">
      <w:t>unni</w:t>
    </w:r>
    <w:r w:rsidR="00272F6E">
      <w:t>ng he</w:t>
    </w:r>
    <w:r w:rsidR="007362A7">
      <w:t>ad: STRATEGIC PLAN PART 3: BALANCED SCORECARD &amp; COMMUNICATION PLAN</w:t>
    </w:r>
    <w:r>
      <w:ptab w:relativeTo="margin" w:alignment="right" w:leader="none"/>
    </w:r>
    <w:r w:rsidR="00146271">
      <w:rPr>
        <w:rStyle w:val="PageNumber"/>
      </w:rPr>
      <w:fldChar w:fldCharType="begin"/>
    </w:r>
    <w:r>
      <w:rPr>
        <w:rStyle w:val="PageNumber"/>
      </w:rPr>
      <w:instrText xml:space="preserve"> PAGE </w:instrText>
    </w:r>
    <w:r w:rsidR="00146271">
      <w:rPr>
        <w:rStyle w:val="PageNumber"/>
      </w:rPr>
      <w:fldChar w:fldCharType="separate"/>
    </w:r>
    <w:r w:rsidR="00E617BE">
      <w:rPr>
        <w:rStyle w:val="PageNumber"/>
        <w:noProof/>
      </w:rPr>
      <w:t>1</w:t>
    </w:r>
    <w:r w:rsidR="00146271">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7A2D36"/>
    <w:multiLevelType w:val="hybridMultilevel"/>
    <w:tmpl w:val="639EFA3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0892D32"/>
    <w:multiLevelType w:val="hybridMultilevel"/>
    <w:tmpl w:val="47BC4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6A6157"/>
    <w:multiLevelType w:val="hybridMultilevel"/>
    <w:tmpl w:val="6106C28C"/>
    <w:lvl w:ilvl="0" w:tplc="2506B7F0">
      <w:start w:val="1"/>
      <w:numFmt w:val="upp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218A7"/>
    <w:multiLevelType w:val="hybridMultilevel"/>
    <w:tmpl w:val="F4E47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FB61DF"/>
    <w:multiLevelType w:val="hybridMultilevel"/>
    <w:tmpl w:val="41D891EA"/>
    <w:lvl w:ilvl="0" w:tplc="FBCC62A8">
      <w:numFmt w:val="bullet"/>
      <w:lvlText w:val=""/>
      <w:lvlJc w:val="left"/>
      <w:pPr>
        <w:ind w:left="360" w:hanging="360"/>
      </w:pPr>
      <w:rPr>
        <w:rFonts w:ascii="Symbol" w:eastAsia="Times New Roman" w:hAnsi="Symbol" w:cs="Times New Roman" w:hint="default"/>
        <w:b/>
        <w:sz w:val="36"/>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54D8346D"/>
    <w:multiLevelType w:val="hybridMultilevel"/>
    <w:tmpl w:val="D0641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71AC232F"/>
    <w:multiLevelType w:val="hybridMultilevel"/>
    <w:tmpl w:val="D64A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7B257B82"/>
    <w:multiLevelType w:val="hybridMultilevel"/>
    <w:tmpl w:val="F3827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19"/>
  </w:num>
  <w:num w:numId="14">
    <w:abstractNumId w:val="17"/>
  </w:num>
  <w:num w:numId="15">
    <w:abstractNumId w:val="13"/>
  </w:num>
  <w:num w:numId="16">
    <w:abstractNumId w:val="11"/>
  </w:num>
  <w:num w:numId="17">
    <w:abstractNumId w:val="15"/>
  </w:num>
  <w:num w:numId="18">
    <w:abstractNumId w:val="14"/>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D97"/>
    <w:rsid w:val="00004E84"/>
    <w:rsid w:val="00006921"/>
    <w:rsid w:val="0001146D"/>
    <w:rsid w:val="000200F2"/>
    <w:rsid w:val="00032F74"/>
    <w:rsid w:val="00042DF8"/>
    <w:rsid w:val="0005557E"/>
    <w:rsid w:val="00073C88"/>
    <w:rsid w:val="00083425"/>
    <w:rsid w:val="000A68C1"/>
    <w:rsid w:val="000C104A"/>
    <w:rsid w:val="000F0797"/>
    <w:rsid w:val="001006A8"/>
    <w:rsid w:val="00105EBF"/>
    <w:rsid w:val="00120166"/>
    <w:rsid w:val="00120B9C"/>
    <w:rsid w:val="00131309"/>
    <w:rsid w:val="00146271"/>
    <w:rsid w:val="00165263"/>
    <w:rsid w:val="00174F2E"/>
    <w:rsid w:val="0017591D"/>
    <w:rsid w:val="001766C7"/>
    <w:rsid w:val="00195050"/>
    <w:rsid w:val="001A25FD"/>
    <w:rsid w:val="001B4725"/>
    <w:rsid w:val="001B50A3"/>
    <w:rsid w:val="001D0856"/>
    <w:rsid w:val="001D5854"/>
    <w:rsid w:val="001F3A62"/>
    <w:rsid w:val="001F6905"/>
    <w:rsid w:val="00200FC9"/>
    <w:rsid w:val="0024669F"/>
    <w:rsid w:val="0025138A"/>
    <w:rsid w:val="00256D95"/>
    <w:rsid w:val="002577FF"/>
    <w:rsid w:val="0026678B"/>
    <w:rsid w:val="00272F6E"/>
    <w:rsid w:val="002A72F4"/>
    <w:rsid w:val="002B57B5"/>
    <w:rsid w:val="002C41E3"/>
    <w:rsid w:val="002D0590"/>
    <w:rsid w:val="002D10A8"/>
    <w:rsid w:val="002D754D"/>
    <w:rsid w:val="00310DFD"/>
    <w:rsid w:val="003306B1"/>
    <w:rsid w:val="00337A22"/>
    <w:rsid w:val="003724EA"/>
    <w:rsid w:val="0037673B"/>
    <w:rsid w:val="00377967"/>
    <w:rsid w:val="00377E73"/>
    <w:rsid w:val="003A337E"/>
    <w:rsid w:val="003D37AE"/>
    <w:rsid w:val="003E1229"/>
    <w:rsid w:val="00400A5A"/>
    <w:rsid w:val="00431A12"/>
    <w:rsid w:val="0043317E"/>
    <w:rsid w:val="0043657F"/>
    <w:rsid w:val="00446EF6"/>
    <w:rsid w:val="00487602"/>
    <w:rsid w:val="004A4779"/>
    <w:rsid w:val="004B1936"/>
    <w:rsid w:val="004C5D9B"/>
    <w:rsid w:val="004D3014"/>
    <w:rsid w:val="004D6131"/>
    <w:rsid w:val="004D7C14"/>
    <w:rsid w:val="00502405"/>
    <w:rsid w:val="0051643A"/>
    <w:rsid w:val="00552157"/>
    <w:rsid w:val="00554119"/>
    <w:rsid w:val="00567D9D"/>
    <w:rsid w:val="00571E5B"/>
    <w:rsid w:val="00572052"/>
    <w:rsid w:val="00572C79"/>
    <w:rsid w:val="00586D91"/>
    <w:rsid w:val="005935CF"/>
    <w:rsid w:val="005A05D0"/>
    <w:rsid w:val="005A0AEF"/>
    <w:rsid w:val="005A412D"/>
    <w:rsid w:val="005B1C30"/>
    <w:rsid w:val="005C02EE"/>
    <w:rsid w:val="005C3AFC"/>
    <w:rsid w:val="005E298A"/>
    <w:rsid w:val="005F6164"/>
    <w:rsid w:val="00644EEE"/>
    <w:rsid w:val="006742CB"/>
    <w:rsid w:val="0068361D"/>
    <w:rsid w:val="00693A03"/>
    <w:rsid w:val="0069559E"/>
    <w:rsid w:val="006B1DF3"/>
    <w:rsid w:val="006B4C78"/>
    <w:rsid w:val="006C0FD2"/>
    <w:rsid w:val="006D4902"/>
    <w:rsid w:val="006F5309"/>
    <w:rsid w:val="00703D12"/>
    <w:rsid w:val="00715D97"/>
    <w:rsid w:val="007362A7"/>
    <w:rsid w:val="00742CA0"/>
    <w:rsid w:val="007526F2"/>
    <w:rsid w:val="00755CB0"/>
    <w:rsid w:val="00790CFD"/>
    <w:rsid w:val="00795EF7"/>
    <w:rsid w:val="007B4092"/>
    <w:rsid w:val="007B41F6"/>
    <w:rsid w:val="007B79BD"/>
    <w:rsid w:val="007C07B5"/>
    <w:rsid w:val="007D7F3F"/>
    <w:rsid w:val="007F67EB"/>
    <w:rsid w:val="00825F0A"/>
    <w:rsid w:val="00860B30"/>
    <w:rsid w:val="00862E66"/>
    <w:rsid w:val="00867E55"/>
    <w:rsid w:val="00873F46"/>
    <w:rsid w:val="008869A6"/>
    <w:rsid w:val="00895B46"/>
    <w:rsid w:val="008C453F"/>
    <w:rsid w:val="008C73E3"/>
    <w:rsid w:val="008F1CCB"/>
    <w:rsid w:val="009043ED"/>
    <w:rsid w:val="0091442E"/>
    <w:rsid w:val="009155E1"/>
    <w:rsid w:val="0094016F"/>
    <w:rsid w:val="00945110"/>
    <w:rsid w:val="009806CA"/>
    <w:rsid w:val="00993550"/>
    <w:rsid w:val="009A5410"/>
    <w:rsid w:val="009A5A32"/>
    <w:rsid w:val="009C3E99"/>
    <w:rsid w:val="009F4079"/>
    <w:rsid w:val="00A008AA"/>
    <w:rsid w:val="00A119C6"/>
    <w:rsid w:val="00A21A91"/>
    <w:rsid w:val="00A47AA1"/>
    <w:rsid w:val="00A5025B"/>
    <w:rsid w:val="00A5378C"/>
    <w:rsid w:val="00A661AE"/>
    <w:rsid w:val="00A74221"/>
    <w:rsid w:val="00A8395A"/>
    <w:rsid w:val="00A879F1"/>
    <w:rsid w:val="00AA7456"/>
    <w:rsid w:val="00AC7F49"/>
    <w:rsid w:val="00AE3D46"/>
    <w:rsid w:val="00AF6795"/>
    <w:rsid w:val="00B13707"/>
    <w:rsid w:val="00B42FE2"/>
    <w:rsid w:val="00B454B7"/>
    <w:rsid w:val="00B71BEB"/>
    <w:rsid w:val="00B87812"/>
    <w:rsid w:val="00B9182F"/>
    <w:rsid w:val="00B94611"/>
    <w:rsid w:val="00BA16AD"/>
    <w:rsid w:val="00BC32D2"/>
    <w:rsid w:val="00BC79E4"/>
    <w:rsid w:val="00BD4F96"/>
    <w:rsid w:val="00C143E8"/>
    <w:rsid w:val="00C3532D"/>
    <w:rsid w:val="00C52F3C"/>
    <w:rsid w:val="00C60325"/>
    <w:rsid w:val="00C7669C"/>
    <w:rsid w:val="00CE0230"/>
    <w:rsid w:val="00CE2997"/>
    <w:rsid w:val="00D13A77"/>
    <w:rsid w:val="00D21E5D"/>
    <w:rsid w:val="00D323B1"/>
    <w:rsid w:val="00D32CCA"/>
    <w:rsid w:val="00D35BEF"/>
    <w:rsid w:val="00D61717"/>
    <w:rsid w:val="00D72D77"/>
    <w:rsid w:val="00D8406E"/>
    <w:rsid w:val="00DA54FE"/>
    <w:rsid w:val="00DB3D7C"/>
    <w:rsid w:val="00DE1BE4"/>
    <w:rsid w:val="00DF29B4"/>
    <w:rsid w:val="00E1660A"/>
    <w:rsid w:val="00E32EE8"/>
    <w:rsid w:val="00E45A2B"/>
    <w:rsid w:val="00E52AAE"/>
    <w:rsid w:val="00E554E8"/>
    <w:rsid w:val="00E573B9"/>
    <w:rsid w:val="00E617BE"/>
    <w:rsid w:val="00E83A00"/>
    <w:rsid w:val="00E8670D"/>
    <w:rsid w:val="00EE29B7"/>
    <w:rsid w:val="00EE4F50"/>
    <w:rsid w:val="00F00346"/>
    <w:rsid w:val="00F00B2E"/>
    <w:rsid w:val="00F03086"/>
    <w:rsid w:val="00F462E7"/>
    <w:rsid w:val="00F54818"/>
    <w:rsid w:val="00F571CA"/>
    <w:rsid w:val="00F85A72"/>
    <w:rsid w:val="00FA7F5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A4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en-US" w:eastAsia="en-US" w:bidi="ar-SA"/>
      </w:rPr>
    </w:rPrDefault>
    <w:pPrDefault>
      <w:pPr>
        <w:spacing w:line="480" w:lineRule="auto"/>
      </w:pPr>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B4C78"/>
    <w:pPr>
      <w:ind w:firstLine="720"/>
    </w:pPr>
    <w:rPr>
      <w:rFonts w:ascii="Times New Roman" w:hAnsi="Times New Roman"/>
      <w:lang w:val="en-CA"/>
    </w:rPr>
  </w:style>
  <w:style w:type="paragraph" w:styleId="Heading1">
    <w:name w:val="heading 1"/>
    <w:basedOn w:val="Normal"/>
    <w:next w:val="BodyText"/>
    <w:link w:val="Heading1Char"/>
    <w:qFormat/>
    <w:rsid w:val="00A8395A"/>
    <w:pPr>
      <w:keepNext/>
      <w:keepLines/>
      <w:ind w:firstLine="0"/>
      <w:jc w:val="center"/>
      <w:outlineLvl w:val="0"/>
    </w:pPr>
    <w:rPr>
      <w:b/>
    </w:rPr>
  </w:style>
  <w:style w:type="paragraph" w:styleId="Heading2">
    <w:name w:val="heading 2"/>
    <w:basedOn w:val="Heading1"/>
    <w:next w:val="Normal"/>
    <w:link w:val="Heading2Char"/>
    <w:qFormat/>
    <w:rsid w:val="00DE1BE4"/>
    <w:pPr>
      <w:jc w:val="left"/>
      <w:outlineLvl w:val="1"/>
    </w:pPr>
  </w:style>
  <w:style w:type="paragraph" w:styleId="Heading3">
    <w:name w:val="heading 3"/>
    <w:basedOn w:val="Heading2"/>
    <w:next w:val="Normal"/>
    <w:link w:val="Heading3Char"/>
    <w:rsid w:val="00DE1BE4"/>
    <w:pPr>
      <w:outlineLvl w:val="2"/>
    </w:pPr>
    <w:rPr>
      <w:rFonts w:eastAsiaTheme="majorEastAsia" w:cstheme="majorBidi"/>
      <w:bCs/>
    </w:rPr>
  </w:style>
  <w:style w:type="paragraph" w:styleId="Heading4">
    <w:name w:val="heading 4"/>
    <w:basedOn w:val="Heading3"/>
    <w:next w:val="Normal"/>
    <w:link w:val="Heading4Char"/>
    <w:rsid w:val="00DE1BE4"/>
    <w:pPr>
      <w:outlineLvl w:val="3"/>
    </w:pPr>
    <w:rPr>
      <w:bCs w:val="0"/>
      <w:i/>
      <w:iCs/>
    </w:rPr>
  </w:style>
  <w:style w:type="paragraph" w:styleId="Heading5">
    <w:name w:val="heading 5"/>
    <w:basedOn w:val="Heading4"/>
    <w:next w:val="Normal"/>
    <w:link w:val="Heading5Char"/>
    <w:rsid w:val="00DE1BE4"/>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4EEE"/>
  </w:style>
  <w:style w:type="paragraph" w:styleId="Header">
    <w:name w:val="header"/>
    <w:basedOn w:val="Normal"/>
    <w:rsid w:val="00BD4F96"/>
    <w:pPr>
      <w:ind w:firstLine="0"/>
    </w:pPr>
  </w:style>
  <w:style w:type="character" w:styleId="PageNumber">
    <w:name w:val="page number"/>
    <w:basedOn w:val="DefaultParagraphFont"/>
    <w:rsid w:val="00CE2997"/>
  </w:style>
  <w:style w:type="character" w:styleId="Hyperlink">
    <w:name w:val="Hyperlink"/>
    <w:basedOn w:val="DefaultParagraphFont"/>
    <w:rsid w:val="00CE2997"/>
    <w:rPr>
      <w:color w:val="0000FF"/>
      <w:u w:val="single"/>
    </w:rPr>
  </w:style>
  <w:style w:type="character" w:customStyle="1" w:styleId="Heading1Char">
    <w:name w:val="Heading 1 Char"/>
    <w:basedOn w:val="DefaultParagraphFont"/>
    <w:link w:val="Heading1"/>
    <w:rsid w:val="00A8395A"/>
    <w:rPr>
      <w:rFonts w:ascii="Times New Roman" w:hAnsi="Times New Roman"/>
      <w:b/>
      <w:lang w:val="en-CA"/>
    </w:rPr>
  </w:style>
  <w:style w:type="paragraph" w:styleId="Footer">
    <w:name w:val="footer"/>
    <w:basedOn w:val="Normal"/>
    <w:rsid w:val="00BD4F96"/>
    <w:pPr>
      <w:ind w:firstLine="0"/>
    </w:pPr>
  </w:style>
  <w:style w:type="paragraph" w:customStyle="1" w:styleId="Numberedlist">
    <w:name w:val="Numbered list"/>
    <w:basedOn w:val="Normal"/>
    <w:rsid w:val="006B4C78"/>
    <w:pPr>
      <w:numPr>
        <w:numId w:val="12"/>
      </w:numPr>
      <w:tabs>
        <w:tab w:val="clear" w:pos="900"/>
      </w:tabs>
      <w:ind w:left="1440" w:hanging="720"/>
    </w:pPr>
  </w:style>
  <w:style w:type="character" w:customStyle="1" w:styleId="BodyTextChar">
    <w:name w:val="Body Text Char"/>
    <w:basedOn w:val="DefaultParagraphFont"/>
    <w:link w:val="BodyText"/>
    <w:rsid w:val="00644EEE"/>
    <w:rPr>
      <w:rFonts w:ascii="Times New Roman" w:hAnsi="Times New Roman"/>
      <w:sz w:val="24"/>
      <w:szCs w:val="24"/>
      <w:lang w:val="en-CA"/>
    </w:rPr>
  </w:style>
  <w:style w:type="paragraph" w:styleId="BlockText">
    <w:name w:val="Block Text"/>
    <w:basedOn w:val="BodyText"/>
    <w:link w:val="BlockTextChar"/>
    <w:semiHidden/>
    <w:unhideWhenUsed/>
    <w:rsid w:val="00DB3D7C"/>
    <w:pPr>
      <w:ind w:firstLine="0"/>
    </w:pPr>
  </w:style>
  <w:style w:type="paragraph" w:customStyle="1" w:styleId="Quotation">
    <w:name w:val="Quotation"/>
    <w:basedOn w:val="BodyText"/>
    <w:link w:val="QuotationChar"/>
    <w:qFormat/>
    <w:rsid w:val="006B4C78"/>
    <w:pPr>
      <w:ind w:left="720" w:firstLine="0"/>
    </w:pPr>
  </w:style>
  <w:style w:type="character" w:customStyle="1" w:styleId="BlockTextChar">
    <w:name w:val="Block Text Char"/>
    <w:basedOn w:val="BodyTextChar"/>
    <w:link w:val="BlockText"/>
    <w:semiHidden/>
    <w:rsid w:val="00825F0A"/>
    <w:rPr>
      <w:rFonts w:ascii="Times New Roman" w:hAnsi="Times New Roman"/>
      <w:sz w:val="24"/>
      <w:szCs w:val="24"/>
      <w:lang w:val="en-CA"/>
    </w:rPr>
  </w:style>
  <w:style w:type="character" w:customStyle="1" w:styleId="Heading3Char">
    <w:name w:val="Heading 3 Char"/>
    <w:basedOn w:val="DefaultParagraphFont"/>
    <w:link w:val="Heading3"/>
    <w:rsid w:val="00DE1BE4"/>
    <w:rPr>
      <w:rFonts w:ascii="Times New Roman" w:eastAsiaTheme="majorEastAsia" w:hAnsi="Times New Roman" w:cstheme="majorBidi"/>
      <w:b/>
      <w:bCs/>
      <w:lang w:val="en-CA"/>
    </w:rPr>
  </w:style>
  <w:style w:type="character" w:customStyle="1" w:styleId="Heading2Char">
    <w:name w:val="Heading 2 Char"/>
    <w:basedOn w:val="Heading1Char"/>
    <w:link w:val="Heading2"/>
    <w:rsid w:val="00DE1BE4"/>
    <w:rPr>
      <w:rFonts w:ascii="Times New Roman" w:hAnsi="Times New Roman"/>
      <w:b/>
      <w:lang w:val="en-CA"/>
    </w:rPr>
  </w:style>
  <w:style w:type="paragraph" w:styleId="ListParagraph">
    <w:name w:val="List Paragraph"/>
    <w:basedOn w:val="Normal"/>
    <w:uiPriority w:val="34"/>
    <w:rsid w:val="006B4C78"/>
    <w:pPr>
      <w:ind w:left="1440" w:hanging="720"/>
    </w:pPr>
  </w:style>
  <w:style w:type="paragraph" w:styleId="Title">
    <w:name w:val="Title"/>
    <w:basedOn w:val="Normal"/>
    <w:next w:val="Normal"/>
    <w:link w:val="TitleChar"/>
    <w:qFormat/>
    <w:rsid w:val="00A8395A"/>
    <w:pPr>
      <w:ind w:firstLine="0"/>
      <w:jc w:val="center"/>
    </w:pPr>
  </w:style>
  <w:style w:type="character" w:customStyle="1" w:styleId="TitleChar">
    <w:name w:val="Title Char"/>
    <w:basedOn w:val="DefaultParagraphFont"/>
    <w:link w:val="Title"/>
    <w:rsid w:val="00A8395A"/>
    <w:rPr>
      <w:rFonts w:ascii="Times New Roman" w:hAnsi="Times New Roman"/>
      <w:lang w:val="en-CA"/>
    </w:rPr>
  </w:style>
  <w:style w:type="character" w:customStyle="1" w:styleId="Heading4Char">
    <w:name w:val="Heading 4 Char"/>
    <w:basedOn w:val="DefaultParagraphFont"/>
    <w:link w:val="Heading4"/>
    <w:rsid w:val="00DE1BE4"/>
    <w:rPr>
      <w:rFonts w:ascii="Times New Roman" w:eastAsiaTheme="majorEastAsia" w:hAnsi="Times New Roman" w:cstheme="majorBidi"/>
      <w:b/>
      <w:i/>
      <w:iCs/>
      <w:lang w:val="en-CA"/>
    </w:rPr>
  </w:style>
  <w:style w:type="character" w:customStyle="1" w:styleId="Heading5Char">
    <w:name w:val="Heading 5 Char"/>
    <w:basedOn w:val="DefaultParagraphFont"/>
    <w:link w:val="Heading5"/>
    <w:rsid w:val="00DE1BE4"/>
    <w:rPr>
      <w:rFonts w:ascii="Times New Roman" w:eastAsiaTheme="majorEastAsia" w:hAnsi="Times New Roman" w:cstheme="majorBidi"/>
      <w:i/>
      <w:iCs/>
      <w:lang w:val="en-CA"/>
    </w:rPr>
  </w:style>
  <w:style w:type="paragraph" w:styleId="Bibliography">
    <w:name w:val="Bibliography"/>
    <w:basedOn w:val="Normal"/>
    <w:link w:val="BibliographyChar"/>
    <w:uiPriority w:val="37"/>
    <w:qFormat/>
    <w:rsid w:val="006B4C78"/>
    <w:pPr>
      <w:ind w:left="720" w:hanging="720"/>
    </w:pPr>
  </w:style>
  <w:style w:type="character" w:customStyle="1" w:styleId="BibliographyChar">
    <w:name w:val="Bibliography Char"/>
    <w:basedOn w:val="DefaultParagraphFont"/>
    <w:link w:val="Bibliography"/>
    <w:uiPriority w:val="37"/>
    <w:rsid w:val="006B4C78"/>
    <w:rPr>
      <w:rFonts w:ascii="Times New Roman" w:hAnsi="Times New Roman"/>
      <w:lang w:val="en-CA"/>
    </w:rPr>
  </w:style>
  <w:style w:type="character" w:customStyle="1" w:styleId="QuotationChar">
    <w:name w:val="Quotation Char"/>
    <w:basedOn w:val="BodyTextChar"/>
    <w:link w:val="Quotation"/>
    <w:rsid w:val="006B4C78"/>
    <w:rPr>
      <w:rFonts w:ascii="Times New Roman" w:hAnsi="Times New Roman"/>
      <w:sz w:val="24"/>
      <w:szCs w:val="24"/>
      <w:lang w:val="en-CA"/>
    </w:rPr>
  </w:style>
  <w:style w:type="character" w:styleId="PlaceholderText">
    <w:name w:val="Placeholder Text"/>
    <w:basedOn w:val="DefaultParagraphFont"/>
    <w:uiPriority w:val="99"/>
    <w:semiHidden/>
    <w:rsid w:val="00AE3D46"/>
    <w:rPr>
      <w:color w:val="808080"/>
    </w:rPr>
  </w:style>
  <w:style w:type="paragraph" w:styleId="BalloonText">
    <w:name w:val="Balloon Text"/>
    <w:basedOn w:val="Normal"/>
    <w:link w:val="BalloonTextChar"/>
    <w:rsid w:val="00AE3D4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E3D46"/>
    <w:rPr>
      <w:rFonts w:ascii="Tahoma" w:hAnsi="Tahoma" w:cs="Tahoma"/>
      <w:sz w:val="16"/>
      <w:szCs w:val="16"/>
      <w:lang w:val="en-CA"/>
    </w:rPr>
  </w:style>
  <w:style w:type="paragraph" w:customStyle="1" w:styleId="apacitation">
    <w:name w:val="apacitation"/>
    <w:basedOn w:val="Normal"/>
    <w:rsid w:val="006742CB"/>
    <w:pPr>
      <w:spacing w:before="100" w:beforeAutospacing="1" w:after="100" w:afterAutospacing="1" w:line="240" w:lineRule="auto"/>
      <w:ind w:firstLine="0"/>
    </w:pPr>
    <w:rPr>
      <w:lang w:val="en-US"/>
    </w:rPr>
  </w:style>
  <w:style w:type="character" w:customStyle="1" w:styleId="apple-converted-space">
    <w:name w:val="apple-converted-space"/>
    <w:basedOn w:val="DefaultParagraphFont"/>
    <w:rsid w:val="006742CB"/>
  </w:style>
  <w:style w:type="character" w:styleId="Emphasis">
    <w:name w:val="Emphasis"/>
    <w:basedOn w:val="DefaultParagraphFont"/>
    <w:uiPriority w:val="20"/>
    <w:qFormat/>
    <w:rsid w:val="006742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93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ndon\Downloads\apastyle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A Styl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9B26F23-97F6-41B3-A752-6F05B7E3C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apastyle2013</Template>
  <TotalTime>0</TotalTime>
  <Pages>6</Pages>
  <Words>1259</Words>
  <Characters>7180</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2017-03-06T19:03:00Z</dcterms:created>
  <dcterms:modified xsi:type="dcterms:W3CDTF">2017-03-10T21:23:00Z</dcterms:modified>
  <cp:version/>
</cp:coreProperties>
</file>