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Pr="00DA54FE" w:rsidRDefault="00A47AA1" w:rsidP="00BA16AD">
      <w:pPr>
        <w:pStyle w:val="Title"/>
      </w:pPr>
      <w:r>
        <w:t xml:space="preserve"> </w:t>
      </w:r>
    </w:p>
    <w:p w:rsidR="00B454B7" w:rsidRPr="00DA54FE" w:rsidRDefault="00B454B7" w:rsidP="00BA16AD">
      <w:pPr>
        <w:pStyle w:val="Title"/>
      </w:pPr>
    </w:p>
    <w:p w:rsidR="00B454B7" w:rsidRPr="00DA54FE" w:rsidRDefault="00B454B7" w:rsidP="00BA16AD">
      <w:pPr>
        <w:pStyle w:val="Title"/>
      </w:pPr>
    </w:p>
    <w:p w:rsidR="001A25FD" w:rsidRPr="00DA54FE" w:rsidRDefault="001A25FD" w:rsidP="00BA16AD">
      <w:pPr>
        <w:pStyle w:val="Title"/>
      </w:pPr>
    </w:p>
    <w:p w:rsidR="00AC7F49" w:rsidRDefault="00AC7F49" w:rsidP="00BA16AD">
      <w:pPr>
        <w:pStyle w:val="Title"/>
      </w:pPr>
      <w:bookmarkStart w:id="0" w:name="bkPaperTitl"/>
      <w:bookmarkEnd w:id="0"/>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B454B7" w:rsidRPr="00DA54FE" w:rsidRDefault="009806CA" w:rsidP="00A8395A">
      <w:pPr>
        <w:pStyle w:val="Title"/>
      </w:pPr>
      <w:proofErr w:type="spellStart"/>
      <w:r>
        <w:t>Swott</w:t>
      </w:r>
      <w:proofErr w:type="spellEnd"/>
      <w:r>
        <w:t xml:space="preserve"> Analysis</w:t>
      </w:r>
    </w:p>
    <w:p w:rsidR="00D61717" w:rsidRDefault="00D61717" w:rsidP="00E35B74">
      <w:pPr>
        <w:pStyle w:val="Title"/>
      </w:pPr>
      <w:bookmarkStart w:id="1" w:name="bkAuthor"/>
      <w:bookmarkStart w:id="2" w:name="_GoBack"/>
      <w:bookmarkEnd w:id="1"/>
      <w:bookmarkEnd w:id="2"/>
    </w:p>
    <w:p w:rsidR="00715D97" w:rsidRPr="00715D97" w:rsidRDefault="00715D97" w:rsidP="00715D97"/>
    <w:p w:rsidR="004D3014" w:rsidRPr="00DA54FE" w:rsidRDefault="004D3014" w:rsidP="00BA16AD">
      <w:pPr>
        <w:pStyle w:val="Title"/>
      </w:pPr>
    </w:p>
    <w:p w:rsidR="002D754D" w:rsidRPr="00DA54FE" w:rsidRDefault="002D754D" w:rsidP="00BA16AD">
      <w:pPr>
        <w:pStyle w:val="Title"/>
      </w:pPr>
    </w:p>
    <w:p w:rsidR="00E52AAE" w:rsidRDefault="002D754D" w:rsidP="00BD4F96">
      <w:r w:rsidRPr="00DA54FE">
        <w:br w:type="page"/>
      </w:r>
    </w:p>
    <w:p w:rsidR="005E298A" w:rsidRPr="005E298A" w:rsidRDefault="005E298A" w:rsidP="005E298A"/>
    <w:p w:rsidR="009806CA" w:rsidRPr="0039343C" w:rsidRDefault="009806CA" w:rsidP="009806CA">
      <w:pPr>
        <w:jc w:val="both"/>
        <w:rPr>
          <w:b/>
        </w:rPr>
      </w:pPr>
      <w:r w:rsidRPr="0039343C">
        <w:rPr>
          <w:b/>
        </w:rPr>
        <w:t>Economic, Legal, and Regulatory Forces and Trends</w:t>
      </w:r>
    </w:p>
    <w:p w:rsidR="009806CA" w:rsidRPr="000304B1" w:rsidRDefault="009806CA" w:rsidP="009806CA">
      <w:pPr>
        <w:tabs>
          <w:tab w:val="center" w:pos="5040"/>
        </w:tabs>
        <w:jc w:val="both"/>
      </w:pPr>
      <w:r w:rsidRPr="000304B1">
        <w:t xml:space="preserve">Dignity health Inc. has to consider a number of both internal and external factors that are likely to affect the opening up of transgender clinical service division. These factors include economic factors, legal and regulatory forces and trend. Legal factors are likely to affect the operations of transgender clinical service division due to the different laws set by different political regimes. As you walk across different countries and state, you will notice that each country has its own provisions regarding transgender issues. Therefore, it is necessary that Dignity Health Inc. should thoroughly conduct a feasibility study to determine which countries in their statutes and regulations are not opposed to transgender. For example, the majority of the countries in Africa are opposed to transgender in their law setting, therefore the company cannot opt to open a new transgender clinical service division in such areas because it may lead continuous lawsuits with the government. Other legal factors that the company should consider before opening a new division may include tax laws, licensing requirement among others. </w:t>
      </w:r>
    </w:p>
    <w:p w:rsidR="009806CA" w:rsidRPr="000304B1" w:rsidRDefault="009806CA" w:rsidP="009806CA">
      <w:pPr>
        <w:tabs>
          <w:tab w:val="center" w:pos="5040"/>
        </w:tabs>
        <w:jc w:val="both"/>
      </w:pPr>
      <w:r w:rsidRPr="000304B1">
        <w:t xml:space="preserve">It is also necessary that the company should consider economic factors before the opening of the new division. They must assess inflation and interest rate in the country in which the transgender clinical service division. Study of the inflation rate is necessary so that it can determine the cost that will be charged for the services and amount that will be incurred in setting up the division. It is also necessary to determine the interest rates charged on loans so as to assess the liquidity of the division by determining how often it will be easier to source for capital. The parent company should, therefore, ensure that the division is located in a country with low-interest rates and low inflation rates. Another factor to consider is the trends that are likely to occur in transgender. These trends may either have positive or negative impacts on the functioning of the </w:t>
      </w:r>
      <w:r w:rsidRPr="000304B1">
        <w:lastRenderedPageBreak/>
        <w:t>transgender clinical service division. They may include elimination of affordable care Act, more transgender people will be able to talk about their status hence influencing their acceptance in the communities, due to training programs put in place for doctors to specialize in transgender and opening up of new transgender clinical service divisions the availability of transgender care service will increase, insurance cover that covers transgender people is likely to reduce, and establishment of healthcare community’s focus on the minors who are transgender will increase among many other trends (</w:t>
      </w:r>
      <w:proofErr w:type="spellStart"/>
      <w:r w:rsidRPr="000304B1">
        <w:t>Bendl</w:t>
      </w:r>
      <w:proofErr w:type="spellEnd"/>
      <w:r w:rsidRPr="000304B1">
        <w:t xml:space="preserve">, </w:t>
      </w:r>
      <w:proofErr w:type="spellStart"/>
      <w:r w:rsidRPr="000304B1">
        <w:t>Hanappi</w:t>
      </w:r>
      <w:proofErr w:type="spellEnd"/>
      <w:r w:rsidRPr="000304B1">
        <w:t>-Egger &amp; Hofmann, 2010).</w:t>
      </w:r>
    </w:p>
    <w:p w:rsidR="009806CA" w:rsidRPr="00AD16D1" w:rsidRDefault="009806CA" w:rsidP="009806CA">
      <w:pPr>
        <w:tabs>
          <w:tab w:val="center" w:pos="5040"/>
        </w:tabs>
        <w:jc w:val="both"/>
        <w:rPr>
          <w:b/>
        </w:rPr>
      </w:pPr>
      <w:r w:rsidRPr="00AD16D1">
        <w:rPr>
          <w:b/>
        </w:rPr>
        <w:t>Adaptation to Change in an Organization</w:t>
      </w:r>
    </w:p>
    <w:p w:rsidR="009806CA" w:rsidRPr="000304B1" w:rsidRDefault="009806CA" w:rsidP="009806CA">
      <w:pPr>
        <w:tabs>
          <w:tab w:val="center" w:pos="5040"/>
        </w:tabs>
        <w:jc w:val="both"/>
      </w:pPr>
      <w:r w:rsidRPr="000304B1">
        <w:t>In the present rapid changing environment in business, organizational changes are inevitable hence both the employees and management should be flexible to adapt to the new changes. Therefore, it is necessary that an organization and its employees to look at the opportunities that are presented with organizational change before making any resistance. Conducting research in areas of employee specialization is one of the main reasons that results to change. This is because employees are able to determine a gap that may exist in the organization hence making them anticipate for change hence making it easier to adapt to change whenever it occurs. Another factor that leads to easier adaptation to change is through learning and development. Continuous learning of new skills by the employee will limit the number of resistance to change. This is because employees will have acquired knowledge and skills necessary to initiate the change and reasons to why the change is necessary. It is necessary that Dignity Health Inc. engages its doctors in an extensive training in the area of transgender prior to the opening of the clinical facility (Weick &amp; Quinn, 2009).</w:t>
      </w:r>
    </w:p>
    <w:p w:rsidR="009806CA" w:rsidRPr="000304B1" w:rsidRDefault="009806CA" w:rsidP="009806CA">
      <w:pPr>
        <w:tabs>
          <w:tab w:val="center" w:pos="5040"/>
        </w:tabs>
        <w:jc w:val="both"/>
      </w:pPr>
    </w:p>
    <w:p w:rsidR="009806CA" w:rsidRDefault="009806CA" w:rsidP="009806CA">
      <w:pPr>
        <w:tabs>
          <w:tab w:val="center" w:pos="5040"/>
        </w:tabs>
        <w:jc w:val="both"/>
        <w:rPr>
          <w:b/>
        </w:rPr>
      </w:pPr>
    </w:p>
    <w:p w:rsidR="009806CA" w:rsidRPr="00AD16D1" w:rsidRDefault="009806CA" w:rsidP="009806CA">
      <w:pPr>
        <w:tabs>
          <w:tab w:val="center" w:pos="5040"/>
        </w:tabs>
        <w:jc w:val="both"/>
        <w:rPr>
          <w:b/>
        </w:rPr>
      </w:pPr>
      <w:r w:rsidRPr="00AD16D1">
        <w:rPr>
          <w:b/>
        </w:rPr>
        <w:lastRenderedPageBreak/>
        <w:t>Supply Chain of a New Division</w:t>
      </w:r>
    </w:p>
    <w:p w:rsidR="009806CA" w:rsidRPr="000304B1" w:rsidRDefault="009806CA" w:rsidP="009806CA">
      <w:pPr>
        <w:tabs>
          <w:tab w:val="center" w:pos="5040"/>
        </w:tabs>
        <w:jc w:val="both"/>
      </w:pPr>
      <w:r w:rsidRPr="000304B1">
        <w:t>The supply chain of a new division has to be incorporated into the supply chain of the parent company to ensure the effective functioning of the business. It is, therefore, necessary that the management put in place mechanisms that will ensure the interrelation is a success. The main reason behind achieving a successful supply chain system is because a well-managed supply chain is likely to lead to a competitive advantage over your competitors. The success of any division is dependent on the effectiveness of both the division’s supply chain and parent company’s supply chain. Hence integrating the two may lead to the growth of the business model. It is, therefore, necessary that the supply chain is able to determine the needs of the customer during the placement of an order; the chain should also determine the type of customers you are serving and the establishment of a partnership with suppliers to take advantage of their networking and capabilities.</w:t>
      </w:r>
    </w:p>
    <w:p w:rsidR="009806CA" w:rsidRPr="000304B1" w:rsidRDefault="009806CA" w:rsidP="009806CA">
      <w:pPr>
        <w:tabs>
          <w:tab w:val="center" w:pos="5040"/>
        </w:tabs>
        <w:jc w:val="both"/>
      </w:pPr>
      <w:r w:rsidRPr="000304B1">
        <w:t xml:space="preserve"> Plans to develop and leverage core competencies and resources within the supply chain have to be instituted and functional within the division. The adoption of new methods by supply chain members will ensure that there is an efficient supply chain for the division’s needs of raw materials. The products provided should also be of a high quality so that the division may remain competitive. This should be achieved within the shortest time possible. Another plan is the division’s ability to ensure that orders of customers are delivered on time so as to avoid failure of non-compliance (Christopher, 2005).</w:t>
      </w:r>
    </w:p>
    <w:p w:rsidR="009806CA" w:rsidRPr="000304B1" w:rsidRDefault="009806CA" w:rsidP="009806CA">
      <w:pPr>
        <w:tabs>
          <w:tab w:val="center" w:pos="5040"/>
        </w:tabs>
        <w:jc w:val="both"/>
      </w:pPr>
    </w:p>
    <w:p w:rsidR="009806CA" w:rsidRPr="000304B1" w:rsidRDefault="009806CA" w:rsidP="009806CA">
      <w:pPr>
        <w:tabs>
          <w:tab w:val="center" w:pos="5040"/>
        </w:tabs>
        <w:jc w:val="both"/>
      </w:pPr>
    </w:p>
    <w:p w:rsidR="009806CA" w:rsidRDefault="009806CA" w:rsidP="009806CA">
      <w:pPr>
        <w:tabs>
          <w:tab w:val="center" w:pos="5040"/>
        </w:tabs>
        <w:jc w:val="both"/>
        <w:rPr>
          <w:b/>
        </w:rPr>
      </w:pPr>
      <w:r>
        <w:rPr>
          <w:b/>
        </w:rPr>
        <w:tab/>
      </w:r>
    </w:p>
    <w:p w:rsidR="009806CA" w:rsidRDefault="009806CA" w:rsidP="009806CA">
      <w:pPr>
        <w:tabs>
          <w:tab w:val="center" w:pos="5040"/>
        </w:tabs>
        <w:jc w:val="both"/>
        <w:rPr>
          <w:b/>
        </w:rPr>
      </w:pPr>
    </w:p>
    <w:p w:rsidR="009806CA" w:rsidRDefault="009806CA" w:rsidP="009806CA">
      <w:pPr>
        <w:tabs>
          <w:tab w:val="center" w:pos="5040"/>
        </w:tabs>
        <w:jc w:val="both"/>
        <w:rPr>
          <w:b/>
        </w:rPr>
      </w:pPr>
    </w:p>
    <w:p w:rsidR="009806CA" w:rsidRDefault="009806CA" w:rsidP="009806CA">
      <w:pPr>
        <w:tabs>
          <w:tab w:val="center" w:pos="5040"/>
        </w:tabs>
        <w:jc w:val="both"/>
        <w:rPr>
          <w:b/>
        </w:rPr>
      </w:pPr>
      <w:r w:rsidRPr="00783224">
        <w:rPr>
          <w:b/>
        </w:rPr>
        <w:t>Analysis of Issues/Opportunities of transgender division</w:t>
      </w:r>
    </w:p>
    <w:p w:rsidR="009806CA" w:rsidRDefault="009806CA" w:rsidP="009806CA">
      <w:pPr>
        <w:jc w:val="both"/>
      </w:pPr>
      <w:r w:rsidRPr="00AD16D1">
        <w:t>The major issue that transgender clinical service may face is the laws in different countries that are against the provision of health services and recognition of people who are transgender hence limiting the areas in which they can set up their division. The organization should deal with the question of what legal and regulatory provisions are provided in the country’s statutes and the compliance procedure instituted. The division also may face some rejection from the community as being unethical hence there is a necessity that Dignity Health Inc. should ensure that an analysis on the social, cultural and beliefs of the community of division location is assessed. The major opportunity is the expansion and increased support from the corporation and non-government organizations on issues of transgender. It is necessary that the division has to comply with state laws on provision of transgender issues in the area of location of the division.</w:t>
      </w:r>
      <w:r w:rsidRPr="00A7209B">
        <w:t xml:space="preserve"> All in all, this study paper has focused on both internal and external factors and also the opportunity and threats present in business environment.</w:t>
      </w:r>
    </w:p>
    <w:p w:rsidR="009806CA" w:rsidRDefault="009806CA" w:rsidP="009806CA">
      <w:pPr>
        <w:jc w:val="both"/>
      </w:pPr>
    </w:p>
    <w:p w:rsidR="009806CA" w:rsidRDefault="009806CA" w:rsidP="009806CA"/>
    <w:p w:rsidR="009806CA" w:rsidRDefault="009806CA" w:rsidP="009806CA"/>
    <w:p w:rsidR="009806CA" w:rsidRDefault="009806CA" w:rsidP="009806CA"/>
    <w:p w:rsidR="009806CA" w:rsidRDefault="009806CA" w:rsidP="009806CA"/>
    <w:p w:rsidR="009806CA" w:rsidRDefault="009806CA" w:rsidP="009806CA"/>
    <w:p w:rsidR="009806CA" w:rsidRDefault="009806CA" w:rsidP="009806CA"/>
    <w:p w:rsidR="009806CA" w:rsidRDefault="009806CA" w:rsidP="009806CA">
      <w:pPr>
        <w:jc w:val="center"/>
        <w:rPr>
          <w:b/>
        </w:rPr>
      </w:pPr>
    </w:p>
    <w:p w:rsidR="009806CA" w:rsidRDefault="009806CA" w:rsidP="009806CA">
      <w:pPr>
        <w:jc w:val="center"/>
        <w:rPr>
          <w:b/>
        </w:rPr>
      </w:pPr>
    </w:p>
    <w:p w:rsidR="009806CA" w:rsidRDefault="009806CA" w:rsidP="009806CA">
      <w:pPr>
        <w:jc w:val="center"/>
        <w:rPr>
          <w:b/>
        </w:rPr>
      </w:pPr>
    </w:p>
    <w:p w:rsidR="009806CA" w:rsidRDefault="009806CA" w:rsidP="009806CA">
      <w:pPr>
        <w:jc w:val="center"/>
        <w:rPr>
          <w:b/>
        </w:rPr>
      </w:pPr>
    </w:p>
    <w:p w:rsidR="009806CA" w:rsidRDefault="009806CA" w:rsidP="009806CA">
      <w:pPr>
        <w:jc w:val="center"/>
        <w:rPr>
          <w:b/>
        </w:rPr>
      </w:pPr>
    </w:p>
    <w:p w:rsidR="009806CA" w:rsidRDefault="009806CA" w:rsidP="009806CA">
      <w:pPr>
        <w:jc w:val="center"/>
        <w:rPr>
          <w:b/>
        </w:rPr>
      </w:pPr>
      <w:r w:rsidRPr="0039343C">
        <w:rPr>
          <w:b/>
        </w:rPr>
        <w:t>References</w:t>
      </w:r>
    </w:p>
    <w:p w:rsidR="009806CA" w:rsidRPr="000304B1" w:rsidRDefault="009806CA" w:rsidP="009806CA">
      <w:pPr>
        <w:ind w:left="720" w:hanging="720"/>
      </w:pPr>
      <w:proofErr w:type="spellStart"/>
      <w:r w:rsidRPr="000304B1">
        <w:t>Bendl</w:t>
      </w:r>
      <w:proofErr w:type="spellEnd"/>
      <w:r w:rsidRPr="000304B1">
        <w:t xml:space="preserve">, R., </w:t>
      </w:r>
      <w:proofErr w:type="spellStart"/>
      <w:r w:rsidRPr="000304B1">
        <w:t>Hanappi</w:t>
      </w:r>
      <w:proofErr w:type="spellEnd"/>
      <w:r w:rsidRPr="000304B1">
        <w:t xml:space="preserve">-Egger, E., &amp; Hofmann, R. (2010). Austrian perspectives on diversity management and equal treatment: regulations, debates, practices and trends. </w:t>
      </w:r>
      <w:r w:rsidRPr="000304B1">
        <w:rPr>
          <w:i/>
          <w:iCs/>
        </w:rPr>
        <w:t>International Handbook on Diversity Management at Work. Country Perspectives on Diversity and Equal Treatment, Edward Elgar, Cheltenham</w:t>
      </w:r>
      <w:r w:rsidRPr="000304B1">
        <w:t>, 27-44.</w:t>
      </w:r>
    </w:p>
    <w:p w:rsidR="009806CA" w:rsidRPr="00F54410" w:rsidRDefault="009806CA" w:rsidP="009806CA">
      <w:pPr>
        <w:ind w:left="720" w:hanging="720"/>
      </w:pPr>
      <w:r w:rsidRPr="00F54410">
        <w:t xml:space="preserve">Christopher, M. (2005). </w:t>
      </w:r>
      <w:r w:rsidRPr="00F54410">
        <w:rPr>
          <w:i/>
          <w:iCs/>
        </w:rPr>
        <w:t>Logistics and supply chain management: creating value-adding networks</w:t>
      </w:r>
      <w:r w:rsidRPr="00F54410">
        <w:t>. Pearson education.</w:t>
      </w:r>
    </w:p>
    <w:p w:rsidR="009806CA" w:rsidRPr="000304B1" w:rsidRDefault="009806CA" w:rsidP="009806CA">
      <w:pPr>
        <w:ind w:left="720" w:hanging="720"/>
      </w:pPr>
      <w:r>
        <w:t>Cox, A. (2000</w:t>
      </w:r>
      <w:r w:rsidRPr="000304B1">
        <w:t xml:space="preserve">). Power, value and supply chain management. </w:t>
      </w:r>
      <w:r w:rsidRPr="000304B1">
        <w:rPr>
          <w:i/>
          <w:iCs/>
        </w:rPr>
        <w:t>Supply chain management: An international journal</w:t>
      </w:r>
      <w:r w:rsidRPr="000304B1">
        <w:t xml:space="preserve">, </w:t>
      </w:r>
      <w:r w:rsidRPr="000304B1">
        <w:rPr>
          <w:i/>
          <w:iCs/>
        </w:rPr>
        <w:t>4</w:t>
      </w:r>
      <w:r w:rsidRPr="000304B1">
        <w:t>(4), 167-175.</w:t>
      </w:r>
    </w:p>
    <w:p w:rsidR="009806CA" w:rsidRPr="00F54410" w:rsidRDefault="009806CA" w:rsidP="009806CA">
      <w:pPr>
        <w:ind w:left="720" w:hanging="720"/>
      </w:pPr>
      <w:r w:rsidRPr="00F54410">
        <w:t>W</w:t>
      </w:r>
      <w:r>
        <w:t>eick, K. E., &amp; Quinn, R. E. (200</w:t>
      </w:r>
      <w:r w:rsidRPr="00F54410">
        <w:t xml:space="preserve">9). Organizational change and development. </w:t>
      </w:r>
      <w:r w:rsidRPr="00F54410">
        <w:rPr>
          <w:i/>
          <w:iCs/>
        </w:rPr>
        <w:t>Annual review of psychology</w:t>
      </w:r>
      <w:r w:rsidRPr="00F54410">
        <w:t xml:space="preserve">, </w:t>
      </w:r>
      <w:r w:rsidRPr="00F54410">
        <w:rPr>
          <w:i/>
          <w:iCs/>
        </w:rPr>
        <w:t>50</w:t>
      </w:r>
      <w:r w:rsidRPr="00F54410">
        <w:t>(1), 361-386.</w:t>
      </w:r>
    </w:p>
    <w:p w:rsidR="009806CA" w:rsidRPr="00F54410" w:rsidRDefault="009806CA" w:rsidP="009806CA"/>
    <w:p w:rsidR="009806CA" w:rsidRPr="0039343C" w:rsidRDefault="009806CA" w:rsidP="009806CA"/>
    <w:p w:rsidR="005E298A" w:rsidRDefault="005E298A" w:rsidP="005E298A">
      <w:pPr>
        <w:ind w:left="720" w:hanging="720"/>
      </w:pPr>
    </w:p>
    <w:p w:rsidR="006D4902" w:rsidRDefault="006D4902" w:rsidP="005E298A">
      <w:pPr>
        <w:pStyle w:val="Bibliography"/>
        <w:ind w:left="0" w:firstLine="0"/>
      </w:pPr>
    </w:p>
    <w:sectPr w:rsidR="006D4902"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56" w:rsidRDefault="007B1C56" w:rsidP="00BD4F96">
      <w:r>
        <w:separator/>
      </w:r>
    </w:p>
  </w:endnote>
  <w:endnote w:type="continuationSeparator" w:id="0">
    <w:p w:rsidR="007B1C56" w:rsidRDefault="007B1C56" w:rsidP="00BD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56" w:rsidRDefault="007B1C56" w:rsidP="00BD4F96">
      <w:r>
        <w:separator/>
      </w:r>
    </w:p>
  </w:footnote>
  <w:footnote w:type="continuationSeparator" w:id="0">
    <w:p w:rsidR="007B1C56" w:rsidRDefault="007B1C56" w:rsidP="00BD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Pr="00BD4F96" w:rsidRDefault="009806CA" w:rsidP="008C73E3">
    <w:pPr>
      <w:pStyle w:val="Title"/>
    </w:pPr>
    <w:proofErr w:type="spellStart"/>
    <w:r>
      <w:t>Swott</w:t>
    </w:r>
    <w:proofErr w:type="spellEnd"/>
    <w:r>
      <w:t xml:space="preserve">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Default="00644EEE" w:rsidP="00BD4F96">
    <w:pPr>
      <w:pStyle w:val="Header"/>
    </w:pPr>
    <w:r>
      <w:t>R</w:t>
    </w:r>
    <w:r w:rsidR="00715D97">
      <w:t>unni</w:t>
    </w:r>
    <w:r w:rsidR="00272F6E">
      <w:t>ng he</w:t>
    </w:r>
    <w:r w:rsidR="009806CA">
      <w:t>ad: STRATEGIC PLAN PART 2: SWOTT ANALYSIS</w:t>
    </w:r>
    <w:r>
      <w:ptab w:relativeTo="margin" w:alignment="right" w:leader="none"/>
    </w:r>
    <w:r w:rsidR="00146271">
      <w:rPr>
        <w:rStyle w:val="PageNumber"/>
      </w:rPr>
      <w:fldChar w:fldCharType="begin"/>
    </w:r>
    <w:r>
      <w:rPr>
        <w:rStyle w:val="PageNumber"/>
      </w:rPr>
      <w:instrText xml:space="preserve"> PAGE </w:instrText>
    </w:r>
    <w:r w:rsidR="00146271">
      <w:rPr>
        <w:rStyle w:val="PageNumber"/>
      </w:rPr>
      <w:fldChar w:fldCharType="separate"/>
    </w:r>
    <w:r w:rsidR="00E35B74">
      <w:rPr>
        <w:rStyle w:val="PageNumber"/>
        <w:noProof/>
      </w:rPr>
      <w:t>1</w:t>
    </w:r>
    <w:r w:rsidR="00146271">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A2D36"/>
    <w:multiLevelType w:val="hybridMultilevel"/>
    <w:tmpl w:val="639EFA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0892D32"/>
    <w:multiLevelType w:val="hybridMultilevel"/>
    <w:tmpl w:val="47BC4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6A6157"/>
    <w:multiLevelType w:val="hybridMultilevel"/>
    <w:tmpl w:val="6106C28C"/>
    <w:lvl w:ilvl="0" w:tplc="2506B7F0">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218A7"/>
    <w:multiLevelType w:val="hybridMultilevel"/>
    <w:tmpl w:val="F4E4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B61DF"/>
    <w:multiLevelType w:val="hybridMultilevel"/>
    <w:tmpl w:val="41D891EA"/>
    <w:lvl w:ilvl="0" w:tplc="FBCC62A8">
      <w:numFmt w:val="bullet"/>
      <w:lvlText w:val=""/>
      <w:lvlJc w:val="left"/>
      <w:pPr>
        <w:ind w:left="360" w:hanging="360"/>
      </w:pPr>
      <w:rPr>
        <w:rFonts w:ascii="Symbol" w:eastAsia="Times New Roman" w:hAnsi="Symbol" w:cs="Times New Roman" w:hint="default"/>
        <w:b/>
        <w:sz w:val="3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4D8346D"/>
    <w:multiLevelType w:val="hybridMultilevel"/>
    <w:tmpl w:val="D0641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71AC232F"/>
    <w:multiLevelType w:val="hybridMultilevel"/>
    <w:tmpl w:val="D6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B257B82"/>
    <w:multiLevelType w:val="hybridMultilevel"/>
    <w:tmpl w:val="F3827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9"/>
  </w:num>
  <w:num w:numId="14">
    <w:abstractNumId w:val="17"/>
  </w:num>
  <w:num w:numId="15">
    <w:abstractNumId w:val="13"/>
  </w:num>
  <w:num w:numId="16">
    <w:abstractNumId w:val="11"/>
  </w:num>
  <w:num w:numId="17">
    <w:abstractNumId w:val="15"/>
  </w:num>
  <w:num w:numId="18">
    <w:abstractNumId w:val="1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97"/>
    <w:rsid w:val="00004E84"/>
    <w:rsid w:val="00006921"/>
    <w:rsid w:val="0001146D"/>
    <w:rsid w:val="000200F2"/>
    <w:rsid w:val="00032F74"/>
    <w:rsid w:val="00042DF8"/>
    <w:rsid w:val="0005557E"/>
    <w:rsid w:val="00073C88"/>
    <w:rsid w:val="00083425"/>
    <w:rsid w:val="000A68C1"/>
    <w:rsid w:val="000C104A"/>
    <w:rsid w:val="000F0797"/>
    <w:rsid w:val="001006A8"/>
    <w:rsid w:val="00105EBF"/>
    <w:rsid w:val="00120166"/>
    <w:rsid w:val="00120B9C"/>
    <w:rsid w:val="00131309"/>
    <w:rsid w:val="00146271"/>
    <w:rsid w:val="00165263"/>
    <w:rsid w:val="00174F2E"/>
    <w:rsid w:val="0017591D"/>
    <w:rsid w:val="001766C7"/>
    <w:rsid w:val="00195050"/>
    <w:rsid w:val="001A25FD"/>
    <w:rsid w:val="001B4725"/>
    <w:rsid w:val="001B50A3"/>
    <w:rsid w:val="001D0856"/>
    <w:rsid w:val="001D5854"/>
    <w:rsid w:val="001F3A62"/>
    <w:rsid w:val="001F6905"/>
    <w:rsid w:val="00200FC9"/>
    <w:rsid w:val="0024669F"/>
    <w:rsid w:val="0025138A"/>
    <w:rsid w:val="00256D95"/>
    <w:rsid w:val="002577FF"/>
    <w:rsid w:val="0026678B"/>
    <w:rsid w:val="00272F6E"/>
    <w:rsid w:val="002A72F4"/>
    <w:rsid w:val="002B57B5"/>
    <w:rsid w:val="002C41E3"/>
    <w:rsid w:val="002D10A8"/>
    <w:rsid w:val="002D754D"/>
    <w:rsid w:val="00310DFD"/>
    <w:rsid w:val="003306B1"/>
    <w:rsid w:val="00337A22"/>
    <w:rsid w:val="003724EA"/>
    <w:rsid w:val="0037673B"/>
    <w:rsid w:val="00377967"/>
    <w:rsid w:val="00377E73"/>
    <w:rsid w:val="003A337E"/>
    <w:rsid w:val="003D37AE"/>
    <w:rsid w:val="003E1229"/>
    <w:rsid w:val="00400A5A"/>
    <w:rsid w:val="00431A12"/>
    <w:rsid w:val="0043317E"/>
    <w:rsid w:val="0043657F"/>
    <w:rsid w:val="00446EF6"/>
    <w:rsid w:val="00487602"/>
    <w:rsid w:val="004A4779"/>
    <w:rsid w:val="004B1936"/>
    <w:rsid w:val="004C5D9B"/>
    <w:rsid w:val="004D3014"/>
    <w:rsid w:val="004D6131"/>
    <w:rsid w:val="004D7C14"/>
    <w:rsid w:val="00502405"/>
    <w:rsid w:val="0051643A"/>
    <w:rsid w:val="00552157"/>
    <w:rsid w:val="00554119"/>
    <w:rsid w:val="00567D9D"/>
    <w:rsid w:val="00571E5B"/>
    <w:rsid w:val="00572052"/>
    <w:rsid w:val="00572C79"/>
    <w:rsid w:val="00586D91"/>
    <w:rsid w:val="005935CF"/>
    <w:rsid w:val="005A05D0"/>
    <w:rsid w:val="005A0AEF"/>
    <w:rsid w:val="005A412D"/>
    <w:rsid w:val="005B1C30"/>
    <w:rsid w:val="005C02EE"/>
    <w:rsid w:val="005C3AFC"/>
    <w:rsid w:val="005E298A"/>
    <w:rsid w:val="005F6164"/>
    <w:rsid w:val="00644EEE"/>
    <w:rsid w:val="006742CB"/>
    <w:rsid w:val="0068361D"/>
    <w:rsid w:val="00693A03"/>
    <w:rsid w:val="0069559E"/>
    <w:rsid w:val="006B1DF3"/>
    <w:rsid w:val="006B4C78"/>
    <w:rsid w:val="006C0FD2"/>
    <w:rsid w:val="006D4902"/>
    <w:rsid w:val="006F5309"/>
    <w:rsid w:val="00703D12"/>
    <w:rsid w:val="00715D97"/>
    <w:rsid w:val="00742CA0"/>
    <w:rsid w:val="00755CB0"/>
    <w:rsid w:val="00790CFD"/>
    <w:rsid w:val="00795EF7"/>
    <w:rsid w:val="007B1C56"/>
    <w:rsid w:val="007B4092"/>
    <w:rsid w:val="007B41F6"/>
    <w:rsid w:val="007B79BD"/>
    <w:rsid w:val="007D7F3F"/>
    <w:rsid w:val="007F67EB"/>
    <w:rsid w:val="00825F0A"/>
    <w:rsid w:val="00860B30"/>
    <w:rsid w:val="00862E66"/>
    <w:rsid w:val="00867E55"/>
    <w:rsid w:val="00873F46"/>
    <w:rsid w:val="008869A6"/>
    <w:rsid w:val="00895B46"/>
    <w:rsid w:val="008C453F"/>
    <w:rsid w:val="008C73E3"/>
    <w:rsid w:val="008F1CCB"/>
    <w:rsid w:val="009043ED"/>
    <w:rsid w:val="0091442E"/>
    <w:rsid w:val="009155E1"/>
    <w:rsid w:val="0094016F"/>
    <w:rsid w:val="00945110"/>
    <w:rsid w:val="009806CA"/>
    <w:rsid w:val="00993550"/>
    <w:rsid w:val="009A5410"/>
    <w:rsid w:val="009C3E99"/>
    <w:rsid w:val="009F4079"/>
    <w:rsid w:val="00A008AA"/>
    <w:rsid w:val="00A119C6"/>
    <w:rsid w:val="00A21A91"/>
    <w:rsid w:val="00A47AA1"/>
    <w:rsid w:val="00A5025B"/>
    <w:rsid w:val="00A5378C"/>
    <w:rsid w:val="00A661AE"/>
    <w:rsid w:val="00A74221"/>
    <w:rsid w:val="00A8395A"/>
    <w:rsid w:val="00A879F1"/>
    <w:rsid w:val="00AA7456"/>
    <w:rsid w:val="00AC7F49"/>
    <w:rsid w:val="00AE3D46"/>
    <w:rsid w:val="00AF6795"/>
    <w:rsid w:val="00B13707"/>
    <w:rsid w:val="00B42FE2"/>
    <w:rsid w:val="00B454B7"/>
    <w:rsid w:val="00B71BEB"/>
    <w:rsid w:val="00B87812"/>
    <w:rsid w:val="00B94611"/>
    <w:rsid w:val="00BA16AD"/>
    <w:rsid w:val="00BC32D2"/>
    <w:rsid w:val="00BC79E4"/>
    <w:rsid w:val="00BD4F96"/>
    <w:rsid w:val="00C143E8"/>
    <w:rsid w:val="00C3532D"/>
    <w:rsid w:val="00C52F3C"/>
    <w:rsid w:val="00C60325"/>
    <w:rsid w:val="00C7669C"/>
    <w:rsid w:val="00CE0230"/>
    <w:rsid w:val="00CE2997"/>
    <w:rsid w:val="00D13A77"/>
    <w:rsid w:val="00D21E5D"/>
    <w:rsid w:val="00D323B1"/>
    <w:rsid w:val="00D32CCA"/>
    <w:rsid w:val="00D35BEF"/>
    <w:rsid w:val="00D61717"/>
    <w:rsid w:val="00D72D77"/>
    <w:rsid w:val="00D8406E"/>
    <w:rsid w:val="00DA54FE"/>
    <w:rsid w:val="00DB3D7C"/>
    <w:rsid w:val="00DE1BE4"/>
    <w:rsid w:val="00DF29B4"/>
    <w:rsid w:val="00E1660A"/>
    <w:rsid w:val="00E32EE8"/>
    <w:rsid w:val="00E35B74"/>
    <w:rsid w:val="00E45A2B"/>
    <w:rsid w:val="00E52AAE"/>
    <w:rsid w:val="00E554E8"/>
    <w:rsid w:val="00E573B9"/>
    <w:rsid w:val="00E83A00"/>
    <w:rsid w:val="00E8670D"/>
    <w:rsid w:val="00EE29B7"/>
    <w:rsid w:val="00EE4F50"/>
    <w:rsid w:val="00F00346"/>
    <w:rsid w:val="00F00B2E"/>
    <w:rsid w:val="00F03086"/>
    <w:rsid w:val="00F462E7"/>
    <w:rsid w:val="00F54818"/>
    <w:rsid w:val="00F571CA"/>
    <w:rsid w:val="00F85A72"/>
    <w:rsid w:val="00FA7F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1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B4C78"/>
    <w:pPr>
      <w:ind w:firstLine="720"/>
    </w:pPr>
    <w:rPr>
      <w:rFonts w:ascii="Times New Roman" w:hAnsi="Times New Roman"/>
      <w:lang w:val="en-CA"/>
    </w:rPr>
  </w:style>
  <w:style w:type="paragraph" w:styleId="Heading1">
    <w:name w:val="heading 1"/>
    <w:basedOn w:val="Normal"/>
    <w:next w:val="BodyText"/>
    <w:link w:val="Heading1Char"/>
    <w:qFormat/>
    <w:rsid w:val="00A8395A"/>
    <w:pPr>
      <w:keepNext/>
      <w:keepLines/>
      <w:ind w:firstLine="0"/>
      <w:jc w:val="center"/>
      <w:outlineLvl w:val="0"/>
    </w:pPr>
    <w:rPr>
      <w:b/>
    </w:rPr>
  </w:style>
  <w:style w:type="paragraph" w:styleId="Heading2">
    <w:name w:val="heading 2"/>
    <w:basedOn w:val="Heading1"/>
    <w:next w:val="Normal"/>
    <w:link w:val="Heading2Char"/>
    <w:qFormat/>
    <w:rsid w:val="00DE1BE4"/>
    <w:pPr>
      <w:jc w:val="left"/>
      <w:outlineLvl w:val="1"/>
    </w:pPr>
  </w:style>
  <w:style w:type="paragraph" w:styleId="Heading3">
    <w:name w:val="heading 3"/>
    <w:basedOn w:val="Heading2"/>
    <w:next w:val="Normal"/>
    <w:link w:val="Heading3Char"/>
    <w:rsid w:val="00DE1BE4"/>
    <w:pPr>
      <w:outlineLvl w:val="2"/>
    </w:pPr>
    <w:rPr>
      <w:rFonts w:eastAsiaTheme="majorEastAsia" w:cstheme="majorBidi"/>
      <w:bCs/>
    </w:rPr>
  </w:style>
  <w:style w:type="paragraph" w:styleId="Heading4">
    <w:name w:val="heading 4"/>
    <w:basedOn w:val="Heading3"/>
    <w:next w:val="Normal"/>
    <w:link w:val="Heading4Char"/>
    <w:rsid w:val="00DE1BE4"/>
    <w:pPr>
      <w:outlineLvl w:val="3"/>
    </w:pPr>
    <w:rPr>
      <w:bCs w:val="0"/>
      <w:i/>
      <w:iCs/>
    </w:rPr>
  </w:style>
  <w:style w:type="paragraph" w:styleId="Heading5">
    <w:name w:val="heading 5"/>
    <w:basedOn w:val="Heading4"/>
    <w:next w:val="Normal"/>
    <w:link w:val="Heading5Char"/>
    <w:rsid w:val="00DE1BE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EEE"/>
  </w:style>
  <w:style w:type="paragraph" w:styleId="Header">
    <w:name w:val="header"/>
    <w:basedOn w:val="Normal"/>
    <w:rsid w:val="00BD4F96"/>
    <w:pPr>
      <w:ind w:firstLine="0"/>
    </w:p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A8395A"/>
    <w:rPr>
      <w:rFonts w:ascii="Times New Roman" w:hAnsi="Times New Roman"/>
      <w:b/>
      <w:lang w:val="en-CA"/>
    </w:rPr>
  </w:style>
  <w:style w:type="paragraph" w:styleId="Footer">
    <w:name w:val="footer"/>
    <w:basedOn w:val="Normal"/>
    <w:rsid w:val="00BD4F96"/>
    <w:pPr>
      <w:ind w:firstLine="0"/>
    </w:pPr>
  </w:style>
  <w:style w:type="paragraph" w:customStyle="1" w:styleId="Numberedlist">
    <w:name w:val="Numbered list"/>
    <w:basedOn w:val="Normal"/>
    <w:rsid w:val="006B4C78"/>
    <w:pPr>
      <w:numPr>
        <w:numId w:val="12"/>
      </w:numPr>
      <w:tabs>
        <w:tab w:val="clear" w:pos="900"/>
      </w:tabs>
      <w:ind w:left="1440" w:hanging="720"/>
    </w:pPr>
  </w:style>
  <w:style w:type="character" w:customStyle="1" w:styleId="BodyTextChar">
    <w:name w:val="Body Text Char"/>
    <w:basedOn w:val="DefaultParagraphFont"/>
    <w:link w:val="BodyText"/>
    <w:rsid w:val="00644EEE"/>
    <w:rPr>
      <w:rFonts w:ascii="Times New Roman" w:hAnsi="Times New Roman"/>
      <w:sz w:val="24"/>
      <w:szCs w:val="24"/>
      <w:lang w:val="en-CA"/>
    </w:rPr>
  </w:style>
  <w:style w:type="paragraph" w:styleId="BlockText">
    <w:name w:val="Block Text"/>
    <w:basedOn w:val="BodyText"/>
    <w:link w:val="BlockTextChar"/>
    <w:semiHidden/>
    <w:unhideWhenUsed/>
    <w:rsid w:val="00DB3D7C"/>
    <w:pPr>
      <w:ind w:firstLine="0"/>
    </w:pPr>
  </w:style>
  <w:style w:type="paragraph" w:customStyle="1" w:styleId="Quotation">
    <w:name w:val="Quotation"/>
    <w:basedOn w:val="BodyText"/>
    <w:link w:val="QuotationChar"/>
    <w:qFormat/>
    <w:rsid w:val="006B4C78"/>
    <w:pPr>
      <w:ind w:left="720" w:firstLine="0"/>
    </w:pPr>
  </w:style>
  <w:style w:type="character" w:customStyle="1" w:styleId="BlockTextChar">
    <w:name w:val="Block Text Char"/>
    <w:basedOn w:val="BodyTextChar"/>
    <w:link w:val="BlockText"/>
    <w:semiHidden/>
    <w:rsid w:val="00825F0A"/>
    <w:rPr>
      <w:rFonts w:ascii="Times New Roman" w:hAnsi="Times New Roman"/>
      <w:sz w:val="24"/>
      <w:szCs w:val="24"/>
      <w:lang w:val="en-CA"/>
    </w:rPr>
  </w:style>
  <w:style w:type="character" w:customStyle="1" w:styleId="Heading3Char">
    <w:name w:val="Heading 3 Char"/>
    <w:basedOn w:val="DefaultParagraphFont"/>
    <w:link w:val="Heading3"/>
    <w:rsid w:val="00DE1BE4"/>
    <w:rPr>
      <w:rFonts w:ascii="Times New Roman" w:eastAsiaTheme="majorEastAsia" w:hAnsi="Times New Roman" w:cstheme="majorBidi"/>
      <w:b/>
      <w:bCs/>
      <w:lang w:val="en-CA"/>
    </w:rPr>
  </w:style>
  <w:style w:type="character" w:customStyle="1" w:styleId="Heading2Char">
    <w:name w:val="Heading 2 Char"/>
    <w:basedOn w:val="Heading1Char"/>
    <w:link w:val="Heading2"/>
    <w:rsid w:val="00DE1BE4"/>
    <w:rPr>
      <w:rFonts w:ascii="Times New Roman" w:hAnsi="Times New Roman"/>
      <w:b/>
      <w:lang w:val="en-CA"/>
    </w:rPr>
  </w:style>
  <w:style w:type="paragraph" w:styleId="ListParagraph">
    <w:name w:val="List Paragraph"/>
    <w:basedOn w:val="Normal"/>
    <w:uiPriority w:val="34"/>
    <w:rsid w:val="006B4C78"/>
    <w:pPr>
      <w:ind w:left="1440" w:hanging="720"/>
    </w:pPr>
  </w:style>
  <w:style w:type="paragraph" w:styleId="Title">
    <w:name w:val="Title"/>
    <w:basedOn w:val="Normal"/>
    <w:next w:val="Normal"/>
    <w:link w:val="TitleChar"/>
    <w:qFormat/>
    <w:rsid w:val="00A8395A"/>
    <w:pPr>
      <w:ind w:firstLine="0"/>
      <w:jc w:val="center"/>
    </w:pPr>
  </w:style>
  <w:style w:type="character" w:customStyle="1" w:styleId="TitleChar">
    <w:name w:val="Title Char"/>
    <w:basedOn w:val="DefaultParagraphFont"/>
    <w:link w:val="Title"/>
    <w:rsid w:val="00A8395A"/>
    <w:rPr>
      <w:rFonts w:ascii="Times New Roman" w:hAnsi="Times New Roman"/>
      <w:lang w:val="en-CA"/>
    </w:rPr>
  </w:style>
  <w:style w:type="character" w:customStyle="1" w:styleId="Heading4Char">
    <w:name w:val="Heading 4 Char"/>
    <w:basedOn w:val="DefaultParagraphFont"/>
    <w:link w:val="Heading4"/>
    <w:rsid w:val="00DE1BE4"/>
    <w:rPr>
      <w:rFonts w:ascii="Times New Roman" w:eastAsiaTheme="majorEastAsia" w:hAnsi="Times New Roman" w:cstheme="majorBidi"/>
      <w:b/>
      <w:i/>
      <w:iCs/>
      <w:lang w:val="en-CA"/>
    </w:rPr>
  </w:style>
  <w:style w:type="character" w:customStyle="1" w:styleId="Heading5Char">
    <w:name w:val="Heading 5 Char"/>
    <w:basedOn w:val="DefaultParagraphFont"/>
    <w:link w:val="Heading5"/>
    <w:rsid w:val="00DE1BE4"/>
    <w:rPr>
      <w:rFonts w:ascii="Times New Roman" w:eastAsiaTheme="majorEastAsia" w:hAnsi="Times New Roman" w:cstheme="majorBidi"/>
      <w:i/>
      <w:iCs/>
      <w:lang w:val="en-CA"/>
    </w:rPr>
  </w:style>
  <w:style w:type="paragraph" w:styleId="Bibliography">
    <w:name w:val="Bibliography"/>
    <w:basedOn w:val="Normal"/>
    <w:link w:val="BibliographyChar"/>
    <w:uiPriority w:val="37"/>
    <w:qFormat/>
    <w:rsid w:val="006B4C78"/>
    <w:pPr>
      <w:ind w:left="720" w:hanging="720"/>
    </w:pPr>
  </w:style>
  <w:style w:type="character" w:customStyle="1" w:styleId="BibliographyChar">
    <w:name w:val="Bibliography Char"/>
    <w:basedOn w:val="DefaultParagraphFont"/>
    <w:link w:val="Bibliography"/>
    <w:uiPriority w:val="37"/>
    <w:rsid w:val="006B4C78"/>
    <w:rPr>
      <w:rFonts w:ascii="Times New Roman" w:hAnsi="Times New Roman"/>
      <w:lang w:val="en-CA"/>
    </w:rPr>
  </w:style>
  <w:style w:type="character" w:customStyle="1" w:styleId="QuotationChar">
    <w:name w:val="Quotation Char"/>
    <w:basedOn w:val="BodyTextChar"/>
    <w:link w:val="Quotation"/>
    <w:rsid w:val="006B4C78"/>
    <w:rPr>
      <w:rFonts w:ascii="Times New Roman" w:hAnsi="Times New Roman"/>
      <w:sz w:val="24"/>
      <w:szCs w:val="24"/>
      <w:lang w:val="en-CA"/>
    </w:rPr>
  </w:style>
  <w:style w:type="character" w:styleId="PlaceholderText">
    <w:name w:val="Placeholder Text"/>
    <w:basedOn w:val="DefaultParagraphFont"/>
    <w:uiPriority w:val="99"/>
    <w:semiHidden/>
    <w:rsid w:val="00AE3D46"/>
    <w:rPr>
      <w:color w:val="808080"/>
    </w:rPr>
  </w:style>
  <w:style w:type="paragraph" w:styleId="BalloonText">
    <w:name w:val="Balloon Text"/>
    <w:basedOn w:val="Normal"/>
    <w:link w:val="BalloonTextChar"/>
    <w:rsid w:val="00AE3D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3D46"/>
    <w:rPr>
      <w:rFonts w:ascii="Tahoma" w:hAnsi="Tahoma" w:cs="Tahoma"/>
      <w:sz w:val="16"/>
      <w:szCs w:val="16"/>
      <w:lang w:val="en-CA"/>
    </w:rPr>
  </w:style>
  <w:style w:type="paragraph" w:customStyle="1" w:styleId="apacitation">
    <w:name w:val="apacitation"/>
    <w:basedOn w:val="Normal"/>
    <w:rsid w:val="006742CB"/>
    <w:pPr>
      <w:spacing w:before="100" w:beforeAutospacing="1" w:after="100" w:afterAutospacing="1" w:line="240" w:lineRule="auto"/>
      <w:ind w:firstLine="0"/>
    </w:pPr>
    <w:rPr>
      <w:lang w:val="en-US"/>
    </w:rPr>
  </w:style>
  <w:style w:type="character" w:customStyle="1" w:styleId="apple-converted-space">
    <w:name w:val="apple-converted-space"/>
    <w:basedOn w:val="DefaultParagraphFont"/>
    <w:rsid w:val="006742CB"/>
  </w:style>
  <w:style w:type="character" w:styleId="Emphasis">
    <w:name w:val="Emphasis"/>
    <w:basedOn w:val="DefaultParagraphFont"/>
    <w:uiPriority w:val="20"/>
    <w:qFormat/>
    <w:rsid w:val="006742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Downloads\apastyle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82AD1B-7C7C-4A76-90B9-6EC218C4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apastyle2013</Template>
  <TotalTime>0</TotalTime>
  <Pages>6</Pages>
  <Words>1105</Words>
  <Characters>6304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2017-02-27T23:43:00Z</dcterms:created>
  <dcterms:modified xsi:type="dcterms:W3CDTF">2017-03-02T23:58:00Z</dcterms:modified>
  <cp:version/>
</cp:coreProperties>
</file>