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C87" w:rsidRPr="00111BE5" w:rsidRDefault="00804C87" w:rsidP="00CC3224">
      <w:pPr>
        <w:spacing w:after="0" w:line="480" w:lineRule="auto"/>
        <w:jc w:val="center"/>
        <w:rPr>
          <w:rFonts w:ascii="Times New Roman" w:hAnsi="Times New Roman"/>
          <w:sz w:val="24"/>
          <w:szCs w:val="24"/>
        </w:rPr>
      </w:pPr>
      <w:bookmarkStart w:id="0" w:name="_GoBack"/>
      <w:bookmarkEnd w:id="0"/>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r w:rsidRPr="00111BE5">
        <w:rPr>
          <w:rFonts w:ascii="Times New Roman" w:hAnsi="Times New Roman"/>
          <w:sz w:val="24"/>
          <w:szCs w:val="24"/>
        </w:rPr>
        <w:t>Greene’s Rights, Liabilities and Impact arising from the Case Scenario</w:t>
      </w:r>
    </w:p>
    <w:p w:rsidR="00804C87" w:rsidRPr="00111BE5" w:rsidRDefault="006342E2" w:rsidP="00CC3224">
      <w:pPr>
        <w:spacing w:after="0" w:line="480" w:lineRule="auto"/>
        <w:jc w:val="center"/>
        <w:rPr>
          <w:rFonts w:ascii="Times New Roman" w:hAnsi="Times New Roman"/>
          <w:sz w:val="24"/>
          <w:szCs w:val="24"/>
        </w:rPr>
      </w:pPr>
      <w:r w:rsidRPr="00111BE5">
        <w:rPr>
          <w:rFonts w:ascii="Times New Roman" w:hAnsi="Times New Roman"/>
          <w:sz w:val="24"/>
          <w:szCs w:val="24"/>
        </w:rPr>
        <w:t>Kumyiah McDonald</w:t>
      </w:r>
    </w:p>
    <w:p w:rsidR="00804C87" w:rsidRPr="00111BE5" w:rsidRDefault="006342E2" w:rsidP="00CC3224">
      <w:pPr>
        <w:spacing w:after="0" w:line="480" w:lineRule="auto"/>
        <w:jc w:val="center"/>
        <w:rPr>
          <w:rFonts w:ascii="Times New Roman" w:hAnsi="Times New Roman"/>
          <w:sz w:val="24"/>
          <w:szCs w:val="24"/>
        </w:rPr>
      </w:pPr>
      <w:r w:rsidRPr="00111BE5">
        <w:rPr>
          <w:rFonts w:ascii="Times New Roman" w:hAnsi="Times New Roman"/>
          <w:sz w:val="24"/>
          <w:szCs w:val="24"/>
        </w:rPr>
        <w:t>Southern New Hampshire University</w:t>
      </w: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804C87" w:rsidRPr="00111BE5" w:rsidRDefault="00804C87" w:rsidP="00CC3224">
      <w:pPr>
        <w:spacing w:after="0" w:line="480" w:lineRule="auto"/>
        <w:jc w:val="center"/>
        <w:rPr>
          <w:rFonts w:ascii="Times New Roman" w:hAnsi="Times New Roman"/>
          <w:sz w:val="24"/>
          <w:szCs w:val="24"/>
        </w:rPr>
      </w:pPr>
    </w:p>
    <w:p w:rsidR="0002527A" w:rsidRPr="00111BE5" w:rsidRDefault="00BB0296" w:rsidP="006342E2">
      <w:pPr>
        <w:spacing w:after="0" w:line="480" w:lineRule="auto"/>
        <w:jc w:val="center"/>
        <w:rPr>
          <w:rFonts w:ascii="Times New Roman" w:hAnsi="Times New Roman"/>
          <w:sz w:val="24"/>
          <w:szCs w:val="24"/>
        </w:rPr>
      </w:pPr>
      <w:r w:rsidRPr="00111BE5">
        <w:rPr>
          <w:rFonts w:ascii="Times New Roman" w:hAnsi="Times New Roman"/>
          <w:sz w:val="24"/>
          <w:szCs w:val="24"/>
        </w:rPr>
        <w:lastRenderedPageBreak/>
        <w:t>MEMORANDUM</w:t>
      </w:r>
    </w:p>
    <w:p w:rsidR="006342E2" w:rsidRPr="00111BE5" w:rsidRDefault="006342E2" w:rsidP="006342E2">
      <w:pPr>
        <w:spacing w:after="0" w:line="480" w:lineRule="auto"/>
        <w:jc w:val="both"/>
        <w:rPr>
          <w:rFonts w:ascii="Times New Roman" w:hAnsi="Times New Roman"/>
          <w:sz w:val="24"/>
          <w:szCs w:val="24"/>
        </w:rPr>
      </w:pPr>
    </w:p>
    <w:p w:rsidR="006342E2" w:rsidRPr="00111BE5" w:rsidRDefault="006342E2" w:rsidP="006342E2">
      <w:pPr>
        <w:spacing w:line="480" w:lineRule="auto"/>
        <w:jc w:val="both"/>
        <w:rPr>
          <w:rFonts w:ascii="Times New Roman" w:hAnsi="Times New Roman"/>
          <w:sz w:val="24"/>
          <w:szCs w:val="24"/>
        </w:rPr>
      </w:pPr>
      <w:r w:rsidRPr="00111BE5">
        <w:rPr>
          <w:rFonts w:ascii="Times New Roman" w:hAnsi="Times New Roman"/>
          <w:sz w:val="24"/>
          <w:szCs w:val="24"/>
        </w:rPr>
        <w:t>To: Management of Greene’s Jewelry Wholesale LLC</w:t>
      </w:r>
    </w:p>
    <w:p w:rsidR="006342E2" w:rsidRPr="00111BE5" w:rsidRDefault="006342E2" w:rsidP="006342E2">
      <w:pPr>
        <w:spacing w:line="480" w:lineRule="auto"/>
        <w:jc w:val="both"/>
        <w:rPr>
          <w:rFonts w:ascii="Times New Roman" w:hAnsi="Times New Roman"/>
          <w:sz w:val="24"/>
          <w:szCs w:val="24"/>
        </w:rPr>
      </w:pPr>
      <w:r w:rsidRPr="00111BE5">
        <w:rPr>
          <w:rFonts w:ascii="Times New Roman" w:hAnsi="Times New Roman"/>
          <w:sz w:val="24"/>
          <w:szCs w:val="24"/>
        </w:rPr>
        <w:t>From: Legal Intern Kumyiah McDonald</w:t>
      </w:r>
    </w:p>
    <w:p w:rsidR="006342E2" w:rsidRPr="00111BE5" w:rsidRDefault="006342E2" w:rsidP="006342E2">
      <w:pPr>
        <w:spacing w:line="480" w:lineRule="auto"/>
        <w:jc w:val="both"/>
        <w:rPr>
          <w:rFonts w:ascii="Times New Roman" w:hAnsi="Times New Roman"/>
          <w:sz w:val="24"/>
          <w:szCs w:val="24"/>
        </w:rPr>
      </w:pPr>
      <w:r w:rsidRPr="00111BE5">
        <w:rPr>
          <w:rFonts w:ascii="Times New Roman" w:hAnsi="Times New Roman"/>
          <w:sz w:val="24"/>
          <w:szCs w:val="24"/>
        </w:rPr>
        <w:t>Date: 2/12/17</w:t>
      </w:r>
    </w:p>
    <w:p w:rsidR="006342E2" w:rsidRPr="00111BE5" w:rsidRDefault="006342E2" w:rsidP="006342E2">
      <w:pPr>
        <w:spacing w:after="0" w:line="480" w:lineRule="auto"/>
        <w:jc w:val="both"/>
        <w:rPr>
          <w:rFonts w:ascii="Times New Roman" w:hAnsi="Times New Roman"/>
          <w:sz w:val="24"/>
          <w:szCs w:val="24"/>
        </w:rPr>
      </w:pPr>
      <w:r w:rsidRPr="00111BE5">
        <w:rPr>
          <w:rFonts w:ascii="Times New Roman" w:hAnsi="Times New Roman"/>
          <w:sz w:val="24"/>
          <w:szCs w:val="24"/>
        </w:rPr>
        <w:t>RE: Greene’s Rights, Liabilities and Impact arising from the Case Scenario</w:t>
      </w:r>
    </w:p>
    <w:p w:rsidR="006342E2" w:rsidRPr="00111BE5" w:rsidRDefault="006342E2" w:rsidP="006342E2">
      <w:pPr>
        <w:spacing w:after="0" w:line="480" w:lineRule="auto"/>
        <w:jc w:val="both"/>
        <w:rPr>
          <w:rFonts w:ascii="Times New Roman" w:hAnsi="Times New Roman"/>
          <w:sz w:val="24"/>
          <w:szCs w:val="24"/>
        </w:rPr>
      </w:pPr>
    </w:p>
    <w:p w:rsidR="00CC3224" w:rsidRPr="00111BE5" w:rsidRDefault="00B63136" w:rsidP="00312D5D">
      <w:pPr>
        <w:spacing w:after="0" w:line="480" w:lineRule="auto"/>
        <w:jc w:val="both"/>
        <w:rPr>
          <w:rFonts w:ascii="Times New Roman" w:hAnsi="Times New Roman"/>
          <w:b/>
          <w:sz w:val="24"/>
          <w:szCs w:val="24"/>
        </w:rPr>
      </w:pPr>
      <w:r w:rsidRPr="00111BE5">
        <w:rPr>
          <w:rFonts w:ascii="Times New Roman" w:hAnsi="Times New Roman"/>
          <w:b/>
          <w:sz w:val="24"/>
          <w:szCs w:val="24"/>
        </w:rPr>
        <w:t>Application of the Law to the Facts</w:t>
      </w:r>
    </w:p>
    <w:p w:rsidR="00BC37C9" w:rsidRPr="00111BE5" w:rsidRDefault="00AD5719" w:rsidP="00312D5D">
      <w:pPr>
        <w:spacing w:after="0" w:line="480" w:lineRule="auto"/>
        <w:ind w:firstLine="720"/>
        <w:jc w:val="both"/>
        <w:rPr>
          <w:rFonts w:ascii="Times New Roman" w:hAnsi="Times New Roman"/>
          <w:b/>
          <w:sz w:val="24"/>
          <w:szCs w:val="24"/>
        </w:rPr>
      </w:pPr>
      <w:r w:rsidRPr="00111BE5">
        <w:rPr>
          <w:rFonts w:ascii="Times New Roman" w:hAnsi="Times New Roman"/>
          <w:sz w:val="24"/>
          <w:szCs w:val="24"/>
        </w:rPr>
        <w:t xml:space="preserve">This part of the memorandum is comprised of a critical analysis of </w:t>
      </w:r>
      <w:r w:rsidR="003440E9" w:rsidRPr="00111BE5">
        <w:rPr>
          <w:rFonts w:ascii="Times New Roman" w:hAnsi="Times New Roman"/>
          <w:sz w:val="24"/>
          <w:szCs w:val="24"/>
        </w:rPr>
        <w:t xml:space="preserve">a </w:t>
      </w:r>
      <w:r w:rsidRPr="00111BE5">
        <w:rPr>
          <w:rFonts w:ascii="Times New Roman" w:hAnsi="Times New Roman"/>
          <w:sz w:val="24"/>
          <w:szCs w:val="24"/>
        </w:rPr>
        <w:t xml:space="preserve">fact pattern </w:t>
      </w:r>
      <w:r w:rsidR="00362B21" w:rsidRPr="00111BE5">
        <w:rPr>
          <w:rFonts w:ascii="Times New Roman" w:hAnsi="Times New Roman"/>
          <w:sz w:val="24"/>
          <w:szCs w:val="24"/>
        </w:rPr>
        <w:t>that raises various issues based on an array of legal areas ranging from intellectual propert</w:t>
      </w:r>
      <w:r w:rsidR="00D85611" w:rsidRPr="00111BE5">
        <w:rPr>
          <w:rFonts w:ascii="Times New Roman" w:hAnsi="Times New Roman"/>
          <w:sz w:val="24"/>
          <w:szCs w:val="24"/>
        </w:rPr>
        <w:t>y and contractual obligations to labor laws and product liability</w:t>
      </w:r>
      <w:r w:rsidR="00762B59" w:rsidRPr="00111BE5">
        <w:rPr>
          <w:rFonts w:ascii="Times New Roman" w:hAnsi="Times New Roman"/>
          <w:sz w:val="24"/>
          <w:szCs w:val="24"/>
        </w:rPr>
        <w:t xml:space="preserve"> laws</w:t>
      </w:r>
      <w:r w:rsidR="00D85611" w:rsidRPr="00111BE5">
        <w:rPr>
          <w:rFonts w:ascii="Times New Roman" w:hAnsi="Times New Roman"/>
          <w:sz w:val="24"/>
          <w:szCs w:val="24"/>
        </w:rPr>
        <w:t>.</w:t>
      </w:r>
      <w:r w:rsidR="0005636B" w:rsidRPr="00111BE5">
        <w:rPr>
          <w:rFonts w:ascii="Times New Roman" w:hAnsi="Times New Roman"/>
          <w:sz w:val="24"/>
          <w:szCs w:val="24"/>
        </w:rPr>
        <w:t xml:space="preserve"> In assessing the legal rights and liabilities </w:t>
      </w:r>
      <w:r w:rsidR="00BC4491" w:rsidRPr="00111BE5">
        <w:rPr>
          <w:rFonts w:ascii="Times New Roman" w:hAnsi="Times New Roman"/>
          <w:sz w:val="24"/>
          <w:szCs w:val="24"/>
        </w:rPr>
        <w:t xml:space="preserve">accruing to Greene’s Jewelry Wholesale, LLC, the paper elaborates on the </w:t>
      </w:r>
      <w:r w:rsidR="00B14655" w:rsidRPr="00111BE5">
        <w:rPr>
          <w:rFonts w:ascii="Times New Roman" w:hAnsi="Times New Roman"/>
          <w:sz w:val="24"/>
          <w:szCs w:val="24"/>
        </w:rPr>
        <w:t xml:space="preserve">legal standards concerning trade secrets, confidentiality agreements, and wrongful termination. Accordingly, the issues for determination </w:t>
      </w:r>
      <w:r w:rsidR="00FD22D0" w:rsidRPr="00111BE5">
        <w:rPr>
          <w:rFonts w:ascii="Times New Roman" w:hAnsi="Times New Roman"/>
          <w:sz w:val="24"/>
          <w:szCs w:val="24"/>
        </w:rPr>
        <w:t xml:space="preserve">arising from the case scenario are whether Howell is </w:t>
      </w:r>
      <w:r w:rsidR="005D603C" w:rsidRPr="00111BE5">
        <w:rPr>
          <w:rFonts w:ascii="Times New Roman" w:hAnsi="Times New Roman"/>
          <w:sz w:val="24"/>
          <w:szCs w:val="24"/>
        </w:rPr>
        <w:t>in violation of Greene’</w:t>
      </w:r>
      <w:r w:rsidR="000057A6" w:rsidRPr="00111BE5">
        <w:rPr>
          <w:rFonts w:ascii="Times New Roman" w:hAnsi="Times New Roman"/>
          <w:sz w:val="24"/>
          <w:szCs w:val="24"/>
        </w:rPr>
        <w:t xml:space="preserve">s patent rights </w:t>
      </w:r>
      <w:r w:rsidR="0074661C" w:rsidRPr="00111BE5">
        <w:rPr>
          <w:rFonts w:ascii="Times New Roman" w:hAnsi="Times New Roman"/>
          <w:sz w:val="24"/>
          <w:szCs w:val="24"/>
        </w:rPr>
        <w:t xml:space="preserve">in the process for creating Ever-Gold </w:t>
      </w:r>
      <w:r w:rsidR="006342E2" w:rsidRPr="00111BE5">
        <w:rPr>
          <w:rFonts w:ascii="Times New Roman" w:hAnsi="Times New Roman"/>
          <w:sz w:val="24"/>
          <w:szCs w:val="24"/>
        </w:rPr>
        <w:t>because</w:t>
      </w:r>
      <w:r w:rsidR="0074661C" w:rsidRPr="00111BE5">
        <w:rPr>
          <w:rFonts w:ascii="Times New Roman" w:hAnsi="Times New Roman"/>
          <w:sz w:val="24"/>
          <w:szCs w:val="24"/>
        </w:rPr>
        <w:t xml:space="preserve"> Howell acquired the trade secret through unscrupulous methods</w:t>
      </w:r>
      <w:r w:rsidR="00A1546B" w:rsidRPr="00111BE5">
        <w:rPr>
          <w:rFonts w:ascii="Times New Roman" w:hAnsi="Times New Roman"/>
          <w:sz w:val="24"/>
          <w:szCs w:val="24"/>
        </w:rPr>
        <w:t xml:space="preserve">; </w:t>
      </w:r>
      <w:r w:rsidR="0002527A" w:rsidRPr="00111BE5">
        <w:rPr>
          <w:rFonts w:ascii="Times New Roman" w:hAnsi="Times New Roman"/>
          <w:sz w:val="24"/>
          <w:szCs w:val="24"/>
        </w:rPr>
        <w:t>whether Jennifer is in breach of the confidentiality agreement between Greene</w:t>
      </w:r>
      <w:r w:rsidR="005D603C" w:rsidRPr="00111BE5">
        <w:rPr>
          <w:rFonts w:ascii="Times New Roman" w:hAnsi="Times New Roman"/>
          <w:sz w:val="24"/>
          <w:szCs w:val="24"/>
        </w:rPr>
        <w:t>’s</w:t>
      </w:r>
      <w:r w:rsidR="0002527A" w:rsidRPr="00111BE5">
        <w:rPr>
          <w:rFonts w:ascii="Times New Roman" w:hAnsi="Times New Roman"/>
          <w:sz w:val="24"/>
          <w:szCs w:val="24"/>
        </w:rPr>
        <w:t xml:space="preserve"> and herself</w:t>
      </w:r>
      <w:r w:rsidR="005D603C" w:rsidRPr="00111BE5">
        <w:rPr>
          <w:rFonts w:ascii="Times New Roman" w:hAnsi="Times New Roman"/>
          <w:sz w:val="24"/>
          <w:szCs w:val="24"/>
        </w:rPr>
        <w:t xml:space="preserve">; and whether Greene’s is liable for wrongfully terminating Jennifer. </w:t>
      </w:r>
    </w:p>
    <w:p w:rsidR="00CC3224" w:rsidRPr="00111BE5" w:rsidRDefault="009E6F4D" w:rsidP="00312D5D">
      <w:pPr>
        <w:spacing w:after="0" w:line="480" w:lineRule="auto"/>
        <w:jc w:val="both"/>
        <w:rPr>
          <w:rFonts w:ascii="Times New Roman" w:hAnsi="Times New Roman"/>
          <w:b/>
          <w:sz w:val="24"/>
          <w:szCs w:val="24"/>
        </w:rPr>
      </w:pPr>
      <w:r w:rsidRPr="00111BE5">
        <w:rPr>
          <w:rFonts w:ascii="Times New Roman" w:hAnsi="Times New Roman"/>
          <w:b/>
          <w:sz w:val="24"/>
          <w:szCs w:val="24"/>
        </w:rPr>
        <w:t xml:space="preserve">Howell is in </w:t>
      </w:r>
      <w:r w:rsidR="000D192E" w:rsidRPr="00111BE5">
        <w:rPr>
          <w:rFonts w:ascii="Times New Roman" w:hAnsi="Times New Roman"/>
          <w:b/>
          <w:sz w:val="24"/>
          <w:szCs w:val="24"/>
        </w:rPr>
        <w:t>V</w:t>
      </w:r>
      <w:r w:rsidRPr="00111BE5">
        <w:rPr>
          <w:rFonts w:ascii="Times New Roman" w:hAnsi="Times New Roman"/>
          <w:b/>
          <w:sz w:val="24"/>
          <w:szCs w:val="24"/>
        </w:rPr>
        <w:t>iolation of Greene’s Patent Rights</w:t>
      </w:r>
    </w:p>
    <w:p w:rsidR="00E72EF0" w:rsidRPr="00111BE5" w:rsidRDefault="009563EA"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i/>
          <w:sz w:val="24"/>
          <w:szCs w:val="24"/>
        </w:rPr>
        <w:t>Title 35 of the United States Code</w:t>
      </w:r>
      <w:r w:rsidRPr="00111BE5">
        <w:rPr>
          <w:rFonts w:ascii="Times New Roman" w:hAnsi="Times New Roman"/>
          <w:sz w:val="24"/>
          <w:szCs w:val="24"/>
        </w:rPr>
        <w:t xml:space="preserve"> (35 USC) is the substantive law on patents in the United States. </w:t>
      </w:r>
      <w:r w:rsidR="0093041B" w:rsidRPr="00111BE5">
        <w:rPr>
          <w:rFonts w:ascii="Times New Roman" w:hAnsi="Times New Roman"/>
          <w:sz w:val="24"/>
          <w:szCs w:val="24"/>
        </w:rPr>
        <w:t>Ownership of a duly registered pa</w:t>
      </w:r>
      <w:r w:rsidR="004C697F" w:rsidRPr="00111BE5">
        <w:rPr>
          <w:rFonts w:ascii="Times New Roman" w:hAnsi="Times New Roman"/>
          <w:sz w:val="24"/>
          <w:szCs w:val="24"/>
        </w:rPr>
        <w:t xml:space="preserve">tent entitles the patent holder to exclude others from utilizing, selling, or exploiting the patent in any other way </w:t>
      </w:r>
      <w:r w:rsidR="00CB6467" w:rsidRPr="00111BE5">
        <w:rPr>
          <w:rFonts w:ascii="Times New Roman" w:hAnsi="Times New Roman"/>
          <w:sz w:val="24"/>
          <w:szCs w:val="24"/>
        </w:rPr>
        <w:t xml:space="preserve">without the holder’s explicit </w:t>
      </w:r>
      <w:r w:rsidR="00CB6467" w:rsidRPr="00111BE5">
        <w:rPr>
          <w:rFonts w:ascii="Times New Roman" w:hAnsi="Times New Roman"/>
          <w:sz w:val="24"/>
          <w:szCs w:val="24"/>
        </w:rPr>
        <w:lastRenderedPageBreak/>
        <w:t xml:space="preserve">authorization. Further, </w:t>
      </w:r>
      <w:r w:rsidR="00AD0305" w:rsidRPr="00111BE5">
        <w:rPr>
          <w:rFonts w:ascii="Times New Roman" w:hAnsi="Times New Roman"/>
          <w:sz w:val="24"/>
          <w:szCs w:val="24"/>
        </w:rPr>
        <w:t xml:space="preserve">following </w:t>
      </w:r>
      <w:r w:rsidR="00CB6467" w:rsidRPr="00111BE5">
        <w:rPr>
          <w:rFonts w:ascii="Times New Roman" w:hAnsi="Times New Roman"/>
          <w:sz w:val="24"/>
          <w:szCs w:val="24"/>
        </w:rPr>
        <w:t xml:space="preserve">the </w:t>
      </w:r>
      <w:r w:rsidR="00173452" w:rsidRPr="00111BE5">
        <w:rPr>
          <w:rFonts w:ascii="Times New Roman" w:hAnsi="Times New Roman"/>
          <w:sz w:val="24"/>
          <w:szCs w:val="24"/>
        </w:rPr>
        <w:t xml:space="preserve">Federal </w:t>
      </w:r>
      <w:r w:rsidR="00AD0305" w:rsidRPr="00111BE5">
        <w:rPr>
          <w:rFonts w:ascii="Times New Roman" w:hAnsi="Times New Roman"/>
          <w:sz w:val="24"/>
          <w:szCs w:val="24"/>
        </w:rPr>
        <w:t>Appellate</w:t>
      </w:r>
      <w:r w:rsidR="00173452" w:rsidRPr="00111BE5">
        <w:rPr>
          <w:rFonts w:ascii="Times New Roman" w:hAnsi="Times New Roman"/>
          <w:sz w:val="24"/>
          <w:szCs w:val="24"/>
        </w:rPr>
        <w:t xml:space="preserve"> </w:t>
      </w:r>
      <w:r w:rsidR="00861C8D" w:rsidRPr="00111BE5">
        <w:rPr>
          <w:rFonts w:ascii="Times New Roman" w:hAnsi="Times New Roman"/>
          <w:sz w:val="24"/>
          <w:szCs w:val="24"/>
        </w:rPr>
        <w:t>Court’s decision</w:t>
      </w:r>
      <w:r w:rsidR="00CB6467" w:rsidRPr="00111BE5">
        <w:rPr>
          <w:rFonts w:ascii="Times New Roman" w:hAnsi="Times New Roman"/>
          <w:sz w:val="24"/>
          <w:szCs w:val="24"/>
        </w:rPr>
        <w:t xml:space="preserve"> in </w:t>
      </w:r>
      <w:r w:rsidR="00CB6467" w:rsidRPr="00111BE5">
        <w:rPr>
          <w:rFonts w:ascii="Times New Roman" w:hAnsi="Times New Roman"/>
          <w:i/>
          <w:sz w:val="24"/>
          <w:szCs w:val="24"/>
        </w:rPr>
        <w:t xml:space="preserve">State Street Bank &amp; Trust Co v Signature Financial Group </w:t>
      </w:r>
      <w:r w:rsidR="005C646D" w:rsidRPr="00111BE5">
        <w:rPr>
          <w:rFonts w:ascii="Times New Roman" w:hAnsi="Times New Roman"/>
          <w:i/>
          <w:sz w:val="24"/>
          <w:szCs w:val="24"/>
        </w:rPr>
        <w:t>Inc.</w:t>
      </w:r>
      <w:r w:rsidR="00861C8D" w:rsidRPr="00111BE5">
        <w:rPr>
          <w:rFonts w:ascii="Times New Roman" w:hAnsi="Times New Roman"/>
          <w:i/>
          <w:sz w:val="24"/>
          <w:szCs w:val="24"/>
        </w:rPr>
        <w:t xml:space="preserve">, </w:t>
      </w:r>
      <w:r w:rsidR="00861C8D" w:rsidRPr="00111BE5">
        <w:rPr>
          <w:rFonts w:ascii="Times New Roman" w:hAnsi="Times New Roman"/>
          <w:sz w:val="24"/>
          <w:szCs w:val="24"/>
        </w:rPr>
        <w:t>(</w:t>
      </w:r>
      <w:r w:rsidR="001A3C72" w:rsidRPr="00111BE5">
        <w:rPr>
          <w:rFonts w:ascii="Times New Roman" w:hAnsi="Times New Roman"/>
          <w:sz w:val="24"/>
          <w:szCs w:val="24"/>
        </w:rPr>
        <w:t>1998),</w:t>
      </w:r>
      <w:r w:rsidR="00173452" w:rsidRPr="00111BE5">
        <w:rPr>
          <w:rFonts w:ascii="Times New Roman" w:hAnsi="Times New Roman"/>
          <w:sz w:val="24"/>
          <w:szCs w:val="24"/>
        </w:rPr>
        <w:t xml:space="preserve"> business processes </w:t>
      </w:r>
      <w:r w:rsidR="00AD0305" w:rsidRPr="00111BE5">
        <w:rPr>
          <w:rFonts w:ascii="Times New Roman" w:hAnsi="Times New Roman"/>
          <w:sz w:val="24"/>
          <w:szCs w:val="24"/>
        </w:rPr>
        <w:t>are patentable.</w:t>
      </w:r>
      <w:r w:rsidR="003D6099" w:rsidRPr="00111BE5">
        <w:rPr>
          <w:rFonts w:ascii="Times New Roman" w:hAnsi="Times New Roman"/>
          <w:i/>
          <w:sz w:val="24"/>
          <w:szCs w:val="24"/>
        </w:rPr>
        <w:t xml:space="preserve"> State Street Bank and Trust Company v. Signature Financial Group</w:t>
      </w:r>
      <w:r w:rsidR="003D6099" w:rsidRPr="00111BE5">
        <w:rPr>
          <w:rFonts w:ascii="Times New Roman" w:hAnsi="Times New Roman"/>
          <w:sz w:val="24"/>
          <w:szCs w:val="24"/>
        </w:rPr>
        <w:t>, Inc. case is relevant to our case as it concerns the business methods patentability. The case is similar to the current case Scenario as the State Street had established a principle that, a claimed invention by Signature Financial Group, Inc. was entitled to protection by a patent.</w:t>
      </w:r>
    </w:p>
    <w:p w:rsidR="00E72EF0" w:rsidRPr="00111BE5" w:rsidRDefault="003D6099"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sz w:val="24"/>
          <w:szCs w:val="24"/>
        </w:rPr>
        <w:t xml:space="preserve">In both cases, the everlasting gold" and Hub and Spoke are entitled to protection by the patent as they involve some practical application and generates </w:t>
      </w:r>
      <w:r w:rsidR="00312D5D" w:rsidRPr="00111BE5">
        <w:rPr>
          <w:rFonts w:ascii="Times New Roman" w:hAnsi="Times New Roman"/>
          <w:sz w:val="24"/>
          <w:szCs w:val="24"/>
        </w:rPr>
        <w:t>a beneficial, concrete and tangible outcome</w:t>
      </w:r>
      <w:r w:rsidRPr="00111BE5">
        <w:rPr>
          <w:rFonts w:ascii="Times New Roman" w:hAnsi="Times New Roman"/>
          <w:sz w:val="24"/>
          <w:szCs w:val="24"/>
        </w:rPr>
        <w:t xml:space="preserve">. The legal issue in the </w:t>
      </w:r>
      <w:r w:rsidRPr="00111BE5">
        <w:rPr>
          <w:rFonts w:ascii="Times New Roman" w:hAnsi="Times New Roman"/>
          <w:i/>
          <w:sz w:val="24"/>
          <w:szCs w:val="24"/>
        </w:rPr>
        <w:t>State Street Bank and Trust Company v. Signature Financial Group, Inc.</w:t>
      </w:r>
      <w:r w:rsidRPr="00111BE5">
        <w:rPr>
          <w:rFonts w:ascii="Times New Roman" w:hAnsi="Times New Roman"/>
          <w:sz w:val="24"/>
          <w:szCs w:val="24"/>
        </w:rPr>
        <w:t xml:space="preserve"> case was whether the transformation was to be accepted from eligible subject matter as it was based on the business process exception to statutory subject matter. It is similar to the current case Scenario where the issue is whether Howell is in Violation of Greene's Patent Rights of "everlasting gold" as it was an eligible subject matter. The court ruled that Hub and Spoke patent was valid and enforceable because it engaged some practical applications that were beneficial, concrete and tangible. Therefore, Greene's case on the "everlasting gold" Patent Rights violation by Howell will succeed as the everlasting gold" patent is valid and enforceable</w:t>
      </w:r>
      <w:r w:rsidR="007155D5" w:rsidRPr="00111BE5">
        <w:rPr>
          <w:rFonts w:ascii="Times New Roman" w:hAnsi="Times New Roman"/>
          <w:sz w:val="24"/>
          <w:szCs w:val="24"/>
        </w:rPr>
        <w:t>.</w:t>
      </w:r>
    </w:p>
    <w:p w:rsidR="000B34CB" w:rsidRPr="00111BE5" w:rsidRDefault="004D30AF"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sz w:val="24"/>
          <w:szCs w:val="24"/>
        </w:rPr>
        <w:t>Although subsequent dec</w:t>
      </w:r>
      <w:r w:rsidR="00E16DC5" w:rsidRPr="00111BE5">
        <w:rPr>
          <w:rFonts w:ascii="Times New Roman" w:hAnsi="Times New Roman"/>
          <w:sz w:val="24"/>
          <w:szCs w:val="24"/>
        </w:rPr>
        <w:t>isions</w:t>
      </w:r>
      <w:r w:rsidR="00976E8E" w:rsidRPr="00111BE5">
        <w:rPr>
          <w:rFonts w:ascii="Times New Roman" w:hAnsi="Times New Roman"/>
          <w:sz w:val="24"/>
          <w:szCs w:val="24"/>
        </w:rPr>
        <w:t xml:space="preserve"> in </w:t>
      </w:r>
      <w:r w:rsidR="00E16DC5" w:rsidRPr="00111BE5">
        <w:rPr>
          <w:rFonts w:ascii="Times New Roman" w:hAnsi="Times New Roman"/>
          <w:i/>
          <w:sz w:val="24"/>
          <w:szCs w:val="24"/>
        </w:rPr>
        <w:t>Bils</w:t>
      </w:r>
      <w:r w:rsidR="003F7A7E" w:rsidRPr="00111BE5">
        <w:rPr>
          <w:rFonts w:ascii="Times New Roman" w:hAnsi="Times New Roman"/>
          <w:i/>
          <w:sz w:val="24"/>
          <w:szCs w:val="24"/>
        </w:rPr>
        <w:t xml:space="preserve">ki v </w:t>
      </w:r>
      <w:r w:rsidR="003F7A7E" w:rsidRPr="00111BE5">
        <w:rPr>
          <w:rFonts w:ascii="Times New Roman" w:hAnsi="Times New Roman"/>
          <w:sz w:val="24"/>
          <w:szCs w:val="24"/>
        </w:rPr>
        <w:t>Kappos</w:t>
      </w:r>
      <w:r w:rsidR="00861C8D" w:rsidRPr="00111BE5">
        <w:rPr>
          <w:rFonts w:ascii="Times New Roman" w:hAnsi="Times New Roman"/>
          <w:sz w:val="24"/>
          <w:szCs w:val="24"/>
        </w:rPr>
        <w:t xml:space="preserve"> (</w:t>
      </w:r>
      <w:r w:rsidR="003F7A7E" w:rsidRPr="00111BE5">
        <w:rPr>
          <w:rFonts w:ascii="Times New Roman" w:hAnsi="Times New Roman"/>
          <w:sz w:val="24"/>
          <w:szCs w:val="24"/>
        </w:rPr>
        <w:t xml:space="preserve">2010) and </w:t>
      </w:r>
      <w:r w:rsidR="003F7A7E" w:rsidRPr="00111BE5">
        <w:rPr>
          <w:rFonts w:ascii="Times New Roman" w:hAnsi="Times New Roman"/>
          <w:i/>
          <w:sz w:val="24"/>
          <w:szCs w:val="24"/>
        </w:rPr>
        <w:t xml:space="preserve">Alice </w:t>
      </w:r>
      <w:r w:rsidR="00861C8D" w:rsidRPr="00111BE5">
        <w:rPr>
          <w:rFonts w:ascii="Times New Roman" w:hAnsi="Times New Roman"/>
          <w:i/>
          <w:sz w:val="24"/>
          <w:szCs w:val="24"/>
        </w:rPr>
        <w:t>Corp v</w:t>
      </w:r>
      <w:r w:rsidR="003F7A7E" w:rsidRPr="00111BE5">
        <w:rPr>
          <w:rFonts w:ascii="Times New Roman" w:hAnsi="Times New Roman"/>
          <w:i/>
          <w:sz w:val="24"/>
          <w:szCs w:val="24"/>
        </w:rPr>
        <w:t xml:space="preserve"> CLS Bank International</w:t>
      </w:r>
      <w:r w:rsidR="00976E8E" w:rsidRPr="00111BE5">
        <w:rPr>
          <w:rFonts w:ascii="Times New Roman" w:hAnsi="Times New Roman"/>
          <w:i/>
          <w:sz w:val="24"/>
          <w:szCs w:val="24"/>
        </w:rPr>
        <w:t xml:space="preserve"> </w:t>
      </w:r>
      <w:r w:rsidR="00976E8E" w:rsidRPr="00111BE5">
        <w:rPr>
          <w:rFonts w:ascii="Times New Roman" w:hAnsi="Times New Roman"/>
          <w:sz w:val="24"/>
          <w:szCs w:val="24"/>
        </w:rPr>
        <w:t>(2014)</w:t>
      </w:r>
      <w:r w:rsidR="00861C8D" w:rsidRPr="00111BE5">
        <w:rPr>
          <w:rFonts w:ascii="Times New Roman" w:hAnsi="Times New Roman"/>
          <w:sz w:val="24"/>
          <w:szCs w:val="24"/>
        </w:rPr>
        <w:t xml:space="preserve"> </w:t>
      </w:r>
      <w:r w:rsidR="00FA0328" w:rsidRPr="00111BE5">
        <w:rPr>
          <w:rFonts w:ascii="Times New Roman" w:hAnsi="Times New Roman"/>
          <w:sz w:val="24"/>
          <w:szCs w:val="24"/>
        </w:rPr>
        <w:t>increasingly cast aspersions on the validity of business process patents</w:t>
      </w:r>
      <w:r w:rsidR="00125C80" w:rsidRPr="00111BE5">
        <w:rPr>
          <w:rFonts w:ascii="Times New Roman" w:hAnsi="Times New Roman"/>
          <w:sz w:val="24"/>
          <w:szCs w:val="24"/>
        </w:rPr>
        <w:t>, th</w:t>
      </w:r>
      <w:r w:rsidR="00752A52" w:rsidRPr="00111BE5">
        <w:rPr>
          <w:rFonts w:ascii="Times New Roman" w:hAnsi="Times New Roman"/>
          <w:sz w:val="24"/>
          <w:szCs w:val="24"/>
        </w:rPr>
        <w:t xml:space="preserve">ese decisions </w:t>
      </w:r>
      <w:r w:rsidR="00D41340" w:rsidRPr="00111BE5">
        <w:rPr>
          <w:rFonts w:ascii="Times New Roman" w:hAnsi="Times New Roman"/>
          <w:sz w:val="24"/>
          <w:szCs w:val="24"/>
        </w:rPr>
        <w:t xml:space="preserve">make a critical reference to the distinction between subject-matter that </w:t>
      </w:r>
      <w:r w:rsidR="00101A2A" w:rsidRPr="00111BE5">
        <w:rPr>
          <w:rFonts w:ascii="Times New Roman" w:hAnsi="Times New Roman"/>
          <w:sz w:val="24"/>
          <w:szCs w:val="24"/>
        </w:rPr>
        <w:t>are patentable and mere abstract ideas</w:t>
      </w:r>
      <w:r w:rsidR="009C0D39" w:rsidRPr="00111BE5">
        <w:rPr>
          <w:rFonts w:ascii="Times New Roman" w:hAnsi="Times New Roman"/>
          <w:sz w:val="24"/>
          <w:szCs w:val="24"/>
        </w:rPr>
        <w:t xml:space="preserve"> and only hold a potential applicant to a higher standard.</w:t>
      </w:r>
      <w:r w:rsidR="000B34CB" w:rsidRPr="00111BE5">
        <w:rPr>
          <w:rFonts w:ascii="Times New Roman" w:hAnsi="Times New Roman"/>
          <w:sz w:val="24"/>
          <w:szCs w:val="24"/>
        </w:rPr>
        <w:t xml:space="preserve"> The   </w:t>
      </w:r>
      <w:r w:rsidR="000B34CB" w:rsidRPr="00111BE5">
        <w:rPr>
          <w:rFonts w:ascii="Times New Roman" w:hAnsi="Times New Roman"/>
          <w:i/>
          <w:sz w:val="24"/>
          <w:szCs w:val="24"/>
        </w:rPr>
        <w:t>Alice Corporation Pty Ltd v CLS Bank</w:t>
      </w:r>
      <w:r w:rsidR="000B34CB" w:rsidRPr="00111BE5">
        <w:rPr>
          <w:rFonts w:ascii="Times New Roman" w:hAnsi="Times New Roman"/>
          <w:sz w:val="24"/>
          <w:szCs w:val="24"/>
        </w:rPr>
        <w:t xml:space="preserve"> case is relevant to the current case Scenario as it helps to determine the subject matter patent-worthiness. </w:t>
      </w:r>
    </w:p>
    <w:p w:rsidR="000B34CB" w:rsidRPr="00111BE5" w:rsidRDefault="000B34CB"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sz w:val="24"/>
          <w:szCs w:val="24"/>
        </w:rPr>
        <w:lastRenderedPageBreak/>
        <w:t xml:space="preserve">The case has similar fact with the current case Scenario as the Alice Corporation software related inventions were of a computer system and in our case is the Everlasting Gold. CLS Bank was seeking invalidity, non-infringement, and unenforceability of the computer system patents whereas in the current case Scenario Howell might defend by seeking invalidity and unenforceability of Greene's Patent Rights. The current case Scenario claims and defenses against Howell might succeed as the claims of Alice Corporation's patent rights were declared invalid by the court where they applied previous cases of </w:t>
      </w:r>
      <w:r w:rsidRPr="00111BE5">
        <w:rPr>
          <w:rFonts w:ascii="Times New Roman" w:hAnsi="Times New Roman"/>
          <w:i/>
          <w:sz w:val="24"/>
          <w:szCs w:val="24"/>
        </w:rPr>
        <w:t>Bilski v Kappos</w:t>
      </w:r>
      <w:r w:rsidRPr="00111BE5">
        <w:rPr>
          <w:rFonts w:ascii="Times New Roman" w:hAnsi="Times New Roman"/>
          <w:sz w:val="24"/>
          <w:szCs w:val="24"/>
        </w:rPr>
        <w:t xml:space="preserve"> and </w:t>
      </w:r>
      <w:r w:rsidRPr="00111BE5">
        <w:rPr>
          <w:rFonts w:ascii="Times New Roman" w:hAnsi="Times New Roman"/>
          <w:i/>
          <w:sz w:val="24"/>
          <w:szCs w:val="24"/>
        </w:rPr>
        <w:t>Mayo Medical Laboratories v Prometheus Laboratories</w:t>
      </w:r>
      <w:r w:rsidRPr="00111BE5">
        <w:rPr>
          <w:rFonts w:ascii="Times New Roman" w:hAnsi="Times New Roman"/>
          <w:sz w:val="24"/>
          <w:szCs w:val="24"/>
        </w:rPr>
        <w:t>. The legal issue was of an abstract idea which would mean the claims were invalid on the ground of a subject matter being patent ineligible.</w:t>
      </w:r>
    </w:p>
    <w:p w:rsidR="00CC3224" w:rsidRPr="00111BE5" w:rsidRDefault="009C0D39"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sz w:val="24"/>
          <w:szCs w:val="24"/>
        </w:rPr>
        <w:t xml:space="preserve">In any case, the </w:t>
      </w:r>
      <w:r w:rsidR="00A76C36" w:rsidRPr="00111BE5">
        <w:rPr>
          <w:rFonts w:ascii="Times New Roman" w:hAnsi="Times New Roman"/>
          <w:sz w:val="24"/>
          <w:szCs w:val="24"/>
        </w:rPr>
        <w:t>precedent established by these decisions cannot apply retrospectively and, therefore, cannot affect grants of patents that have already been made.</w:t>
      </w:r>
      <w:r w:rsidR="0051372A" w:rsidRPr="00111BE5">
        <w:rPr>
          <w:rFonts w:ascii="Times New Roman" w:hAnsi="Times New Roman"/>
          <w:sz w:val="24"/>
          <w:szCs w:val="24"/>
        </w:rPr>
        <w:t xml:space="preserve"> Patent infringement arises whenever another entity exercises or purports to exercise any of the patent holder’s exclusive rights without the explicit authorization of the holder. Although patent infringement may arise even if not all components or features of a product are copied, all steps or their equivalent must be copied for an infringement of a business process patent to arise (Clarkson, Miller, Cross, &amp; Clarkson, 2012). Remedies for willful patent infringement include an injunction to curtail the continued infringement of the patent as well as damages for lost profits and royalties up to three times the amount of assessed damages. </w:t>
      </w:r>
    </w:p>
    <w:p w:rsidR="009E6F4D" w:rsidRPr="00111BE5" w:rsidRDefault="00441065" w:rsidP="00312D5D">
      <w:pPr>
        <w:spacing w:after="0" w:line="480" w:lineRule="auto"/>
        <w:ind w:firstLine="720"/>
        <w:jc w:val="both"/>
        <w:rPr>
          <w:rFonts w:ascii="Times New Roman" w:hAnsi="Times New Roman"/>
          <w:b/>
          <w:sz w:val="24"/>
          <w:szCs w:val="24"/>
        </w:rPr>
      </w:pPr>
      <w:r w:rsidRPr="00111BE5">
        <w:rPr>
          <w:rFonts w:ascii="Times New Roman" w:hAnsi="Times New Roman"/>
          <w:sz w:val="24"/>
          <w:szCs w:val="24"/>
        </w:rPr>
        <w:t xml:space="preserve">Greene’s is entitled to exclude any use of its patent in the ‘Ever-Gold’ manufacturing process. </w:t>
      </w:r>
      <w:r w:rsidR="00C450FA" w:rsidRPr="00111BE5">
        <w:rPr>
          <w:rFonts w:ascii="Times New Roman" w:hAnsi="Times New Roman"/>
          <w:sz w:val="24"/>
          <w:szCs w:val="24"/>
        </w:rPr>
        <w:t xml:space="preserve"> The application of the process defies the debate on patentable subject-matter and abstract ideas because its application over time has resulted in tangible commercial products in the form of exquisite jewelry. </w:t>
      </w:r>
      <w:r w:rsidR="00CD7F89" w:rsidRPr="00111BE5">
        <w:rPr>
          <w:rFonts w:ascii="Times New Roman" w:hAnsi="Times New Roman"/>
          <w:sz w:val="24"/>
          <w:szCs w:val="24"/>
        </w:rPr>
        <w:t>Consequently, Howell’s acquisition of the trade secret</w:t>
      </w:r>
      <w:r w:rsidR="00107B64" w:rsidRPr="00111BE5">
        <w:rPr>
          <w:rFonts w:ascii="Times New Roman" w:hAnsi="Times New Roman"/>
          <w:sz w:val="24"/>
          <w:szCs w:val="24"/>
        </w:rPr>
        <w:t xml:space="preserve"> </w:t>
      </w:r>
      <w:r w:rsidR="00B31B60" w:rsidRPr="00111BE5">
        <w:rPr>
          <w:rFonts w:ascii="Times New Roman" w:hAnsi="Times New Roman"/>
          <w:sz w:val="24"/>
          <w:szCs w:val="24"/>
        </w:rPr>
        <w:t xml:space="preserve">relating to Ever-Gold </w:t>
      </w:r>
      <w:r w:rsidR="00CD7F89" w:rsidRPr="00111BE5">
        <w:rPr>
          <w:rFonts w:ascii="Times New Roman" w:hAnsi="Times New Roman"/>
          <w:sz w:val="24"/>
          <w:szCs w:val="24"/>
        </w:rPr>
        <w:t>and subsequent use constitutes</w:t>
      </w:r>
      <w:r w:rsidR="00107B64" w:rsidRPr="00111BE5">
        <w:rPr>
          <w:rFonts w:ascii="Times New Roman" w:hAnsi="Times New Roman"/>
          <w:sz w:val="24"/>
          <w:szCs w:val="24"/>
        </w:rPr>
        <w:t xml:space="preserve"> willful patent infringement </w:t>
      </w:r>
      <w:r w:rsidR="00CD2DD1" w:rsidRPr="00111BE5">
        <w:rPr>
          <w:rFonts w:ascii="Times New Roman" w:hAnsi="Times New Roman"/>
          <w:sz w:val="24"/>
          <w:szCs w:val="24"/>
        </w:rPr>
        <w:t>since</w:t>
      </w:r>
      <w:r w:rsidR="00B31B60" w:rsidRPr="00111BE5">
        <w:rPr>
          <w:rFonts w:ascii="Times New Roman" w:hAnsi="Times New Roman"/>
          <w:sz w:val="24"/>
          <w:szCs w:val="24"/>
        </w:rPr>
        <w:t xml:space="preserve"> it acquired the </w:t>
      </w:r>
      <w:r w:rsidR="00B31B60" w:rsidRPr="00111BE5">
        <w:rPr>
          <w:rFonts w:ascii="Times New Roman" w:hAnsi="Times New Roman"/>
          <w:sz w:val="24"/>
          <w:szCs w:val="24"/>
        </w:rPr>
        <w:lastRenderedPageBreak/>
        <w:t>information through unscrupulous means t</w:t>
      </w:r>
      <w:r w:rsidR="00166392" w:rsidRPr="00111BE5">
        <w:rPr>
          <w:rFonts w:ascii="Times New Roman" w:hAnsi="Times New Roman"/>
          <w:sz w:val="24"/>
          <w:szCs w:val="24"/>
        </w:rPr>
        <w:t>ainted by an illegality. Although Howell has made slight changes to avoid patent infringement issues, it has substantially employed Greene’s business process resulting in products that are substantially similar. Accordingly, Howell is liable for willful patent infringement and ought to be made a</w:t>
      </w:r>
      <w:r w:rsidR="00B55824" w:rsidRPr="00111BE5">
        <w:rPr>
          <w:rFonts w:ascii="Times New Roman" w:hAnsi="Times New Roman"/>
          <w:sz w:val="24"/>
          <w:szCs w:val="24"/>
        </w:rPr>
        <w:t xml:space="preserve">ccountable through damages for loss of profits and royalties three times the assessed amount. Further, Greene’s is entitled to an injunction </w:t>
      </w:r>
      <w:r w:rsidR="009C0DB7" w:rsidRPr="00111BE5">
        <w:rPr>
          <w:rFonts w:ascii="Times New Roman" w:hAnsi="Times New Roman"/>
          <w:sz w:val="24"/>
          <w:szCs w:val="24"/>
        </w:rPr>
        <w:t xml:space="preserve">against Howell’s continued use of the information it acquired from Jennifer. </w:t>
      </w:r>
      <w:r w:rsidR="00166392" w:rsidRPr="00111BE5">
        <w:rPr>
          <w:rFonts w:ascii="Times New Roman" w:hAnsi="Times New Roman"/>
          <w:sz w:val="24"/>
          <w:szCs w:val="24"/>
        </w:rPr>
        <w:t xml:space="preserve">   </w:t>
      </w:r>
      <w:r w:rsidR="00107B64" w:rsidRPr="00111BE5">
        <w:rPr>
          <w:rFonts w:ascii="Times New Roman" w:hAnsi="Times New Roman"/>
          <w:sz w:val="24"/>
          <w:szCs w:val="24"/>
        </w:rPr>
        <w:t xml:space="preserve"> </w:t>
      </w:r>
      <w:r w:rsidR="00C450FA" w:rsidRPr="00111BE5">
        <w:rPr>
          <w:rFonts w:ascii="Times New Roman" w:hAnsi="Times New Roman"/>
          <w:sz w:val="24"/>
          <w:szCs w:val="24"/>
        </w:rPr>
        <w:t xml:space="preserve"> </w:t>
      </w:r>
      <w:r w:rsidRPr="00111BE5">
        <w:rPr>
          <w:rFonts w:ascii="Times New Roman" w:hAnsi="Times New Roman"/>
          <w:sz w:val="24"/>
          <w:szCs w:val="24"/>
        </w:rPr>
        <w:t xml:space="preserve"> </w:t>
      </w:r>
      <w:r w:rsidR="0051372A" w:rsidRPr="00111BE5">
        <w:rPr>
          <w:rFonts w:ascii="Times New Roman" w:hAnsi="Times New Roman"/>
          <w:sz w:val="24"/>
          <w:szCs w:val="24"/>
        </w:rPr>
        <w:t xml:space="preserve">  </w:t>
      </w:r>
      <w:r w:rsidR="00A76C36" w:rsidRPr="00111BE5">
        <w:rPr>
          <w:rFonts w:ascii="Times New Roman" w:hAnsi="Times New Roman"/>
          <w:sz w:val="24"/>
          <w:szCs w:val="24"/>
        </w:rPr>
        <w:t xml:space="preserve"> </w:t>
      </w:r>
      <w:r w:rsidR="009C0D39" w:rsidRPr="00111BE5">
        <w:rPr>
          <w:rFonts w:ascii="Times New Roman" w:hAnsi="Times New Roman"/>
          <w:sz w:val="24"/>
          <w:szCs w:val="24"/>
        </w:rPr>
        <w:t xml:space="preserve"> </w:t>
      </w:r>
      <w:r w:rsidR="00101A2A" w:rsidRPr="00111BE5">
        <w:rPr>
          <w:rFonts w:ascii="Times New Roman" w:hAnsi="Times New Roman"/>
          <w:sz w:val="24"/>
          <w:szCs w:val="24"/>
        </w:rPr>
        <w:t xml:space="preserve"> </w:t>
      </w:r>
      <w:r w:rsidR="00125C80" w:rsidRPr="00111BE5">
        <w:rPr>
          <w:rFonts w:ascii="Times New Roman" w:hAnsi="Times New Roman"/>
          <w:sz w:val="24"/>
          <w:szCs w:val="24"/>
        </w:rPr>
        <w:t xml:space="preserve"> </w:t>
      </w:r>
      <w:r w:rsidR="00AD0305" w:rsidRPr="00111BE5">
        <w:rPr>
          <w:rFonts w:ascii="Times New Roman" w:hAnsi="Times New Roman"/>
          <w:sz w:val="24"/>
          <w:szCs w:val="24"/>
        </w:rPr>
        <w:t xml:space="preserve">  </w:t>
      </w:r>
      <w:r w:rsidR="001A3C72" w:rsidRPr="00111BE5">
        <w:rPr>
          <w:rFonts w:ascii="Times New Roman" w:hAnsi="Times New Roman"/>
          <w:sz w:val="24"/>
          <w:szCs w:val="24"/>
        </w:rPr>
        <w:t xml:space="preserve"> </w:t>
      </w:r>
      <w:r w:rsidR="009E6F4D" w:rsidRPr="00111BE5">
        <w:rPr>
          <w:rFonts w:ascii="Times New Roman" w:hAnsi="Times New Roman"/>
          <w:sz w:val="24"/>
          <w:szCs w:val="24"/>
        </w:rPr>
        <w:t xml:space="preserve"> </w:t>
      </w:r>
    </w:p>
    <w:p w:rsidR="00CC3224" w:rsidRPr="00111BE5" w:rsidRDefault="009E6F4D" w:rsidP="00312D5D">
      <w:pPr>
        <w:spacing w:after="0" w:line="480" w:lineRule="auto"/>
        <w:jc w:val="both"/>
        <w:rPr>
          <w:rFonts w:ascii="Times New Roman" w:hAnsi="Times New Roman"/>
          <w:b/>
          <w:sz w:val="24"/>
          <w:szCs w:val="24"/>
        </w:rPr>
      </w:pPr>
      <w:r w:rsidRPr="00111BE5">
        <w:rPr>
          <w:rFonts w:ascii="Times New Roman" w:hAnsi="Times New Roman"/>
          <w:b/>
          <w:sz w:val="24"/>
          <w:szCs w:val="24"/>
        </w:rPr>
        <w:t>Jennifer is in</w:t>
      </w:r>
      <w:r w:rsidR="000D192E" w:rsidRPr="00111BE5">
        <w:rPr>
          <w:rFonts w:ascii="Times New Roman" w:hAnsi="Times New Roman"/>
          <w:b/>
          <w:sz w:val="24"/>
          <w:szCs w:val="24"/>
        </w:rPr>
        <w:t xml:space="preserve"> breach of the Confidentiality Agreement </w:t>
      </w:r>
    </w:p>
    <w:p w:rsidR="009F50D1" w:rsidRPr="00111BE5" w:rsidRDefault="00643F3D"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sz w:val="24"/>
          <w:szCs w:val="24"/>
        </w:rPr>
        <w:t xml:space="preserve">A confidentiality agreement is an enforceable contract in which one party are bound not to disclose </w:t>
      </w:r>
      <w:r w:rsidR="00CD2DD1" w:rsidRPr="00111BE5">
        <w:rPr>
          <w:rFonts w:ascii="Times New Roman" w:hAnsi="Times New Roman"/>
          <w:sz w:val="24"/>
          <w:szCs w:val="24"/>
        </w:rPr>
        <w:t>confidential</w:t>
      </w:r>
      <w:r w:rsidRPr="00111BE5">
        <w:rPr>
          <w:rFonts w:ascii="Times New Roman" w:hAnsi="Times New Roman"/>
          <w:sz w:val="24"/>
          <w:szCs w:val="24"/>
        </w:rPr>
        <w:t xml:space="preserve"> information </w:t>
      </w:r>
      <w:r w:rsidR="00AA6220" w:rsidRPr="00111BE5">
        <w:rPr>
          <w:rFonts w:ascii="Times New Roman" w:hAnsi="Times New Roman"/>
          <w:sz w:val="24"/>
          <w:szCs w:val="24"/>
        </w:rPr>
        <w:t xml:space="preserve">to any other party. </w:t>
      </w:r>
      <w:r w:rsidR="006173D0" w:rsidRPr="00111BE5">
        <w:rPr>
          <w:rFonts w:ascii="Times New Roman" w:hAnsi="Times New Roman"/>
          <w:sz w:val="24"/>
          <w:szCs w:val="24"/>
        </w:rPr>
        <w:t>Basically, confidential</w:t>
      </w:r>
      <w:r w:rsidR="00AA6220" w:rsidRPr="00111BE5">
        <w:rPr>
          <w:rFonts w:ascii="Times New Roman" w:hAnsi="Times New Roman"/>
          <w:sz w:val="24"/>
          <w:szCs w:val="24"/>
        </w:rPr>
        <w:t xml:space="preserve"> agreements engender parties not to use any confidential information in any unauthorized ma</w:t>
      </w:r>
      <w:r w:rsidR="00AE3E19" w:rsidRPr="00111BE5">
        <w:rPr>
          <w:rFonts w:ascii="Times New Roman" w:hAnsi="Times New Roman"/>
          <w:sz w:val="24"/>
          <w:szCs w:val="24"/>
        </w:rPr>
        <w:t>nner or not to disclose such information to anyone except if explici</w:t>
      </w:r>
      <w:r w:rsidR="006173D0" w:rsidRPr="00111BE5">
        <w:rPr>
          <w:rFonts w:ascii="Times New Roman" w:hAnsi="Times New Roman"/>
          <w:sz w:val="24"/>
          <w:szCs w:val="24"/>
        </w:rPr>
        <w:t>tly allowed</w:t>
      </w:r>
      <w:r w:rsidR="00AE3E19" w:rsidRPr="00111BE5">
        <w:rPr>
          <w:rFonts w:ascii="Times New Roman" w:hAnsi="Times New Roman"/>
          <w:sz w:val="24"/>
          <w:szCs w:val="24"/>
        </w:rPr>
        <w:t>.</w:t>
      </w:r>
      <w:r w:rsidR="006173D0" w:rsidRPr="00111BE5">
        <w:rPr>
          <w:rFonts w:ascii="Times New Roman" w:hAnsi="Times New Roman"/>
          <w:sz w:val="24"/>
          <w:szCs w:val="24"/>
        </w:rPr>
        <w:t xml:space="preserve"> Confidentiality agreements are designed t</w:t>
      </w:r>
      <w:r w:rsidR="009B4926" w:rsidRPr="00111BE5">
        <w:rPr>
          <w:rFonts w:ascii="Times New Roman" w:hAnsi="Times New Roman"/>
          <w:sz w:val="24"/>
          <w:szCs w:val="24"/>
        </w:rPr>
        <w:t xml:space="preserve">o protect sensitive information such as trade secrets. </w:t>
      </w:r>
      <w:r w:rsidR="007D65D0" w:rsidRPr="00111BE5">
        <w:rPr>
          <w:rFonts w:ascii="Times New Roman" w:hAnsi="Times New Roman"/>
          <w:sz w:val="24"/>
          <w:szCs w:val="24"/>
        </w:rPr>
        <w:t xml:space="preserve">The relevant substantive law on trade secrets is the New Hampshire </w:t>
      </w:r>
      <w:r w:rsidR="0074276B" w:rsidRPr="00111BE5">
        <w:rPr>
          <w:rFonts w:ascii="Times New Roman" w:hAnsi="Times New Roman"/>
          <w:sz w:val="24"/>
          <w:szCs w:val="24"/>
        </w:rPr>
        <w:t>Unifo</w:t>
      </w:r>
      <w:r w:rsidR="0013373F" w:rsidRPr="00111BE5">
        <w:rPr>
          <w:rFonts w:ascii="Times New Roman" w:hAnsi="Times New Roman"/>
          <w:sz w:val="24"/>
          <w:szCs w:val="24"/>
        </w:rPr>
        <w:t>rm Trade Secrets Act (NHUTSA)</w:t>
      </w:r>
      <w:r w:rsidR="0074276B" w:rsidRPr="00111BE5">
        <w:rPr>
          <w:rFonts w:ascii="Times New Roman" w:hAnsi="Times New Roman"/>
          <w:sz w:val="24"/>
          <w:szCs w:val="24"/>
        </w:rPr>
        <w:t xml:space="preserve"> which </w:t>
      </w:r>
      <w:r w:rsidR="00587C00" w:rsidRPr="00111BE5">
        <w:rPr>
          <w:rFonts w:ascii="Times New Roman" w:hAnsi="Times New Roman"/>
          <w:sz w:val="24"/>
          <w:szCs w:val="24"/>
        </w:rPr>
        <w:t>prohibits the misuse of trade secrets</w:t>
      </w:r>
      <w:r w:rsidR="00CC3224" w:rsidRPr="00111BE5">
        <w:rPr>
          <w:rFonts w:ascii="Times New Roman" w:hAnsi="Times New Roman"/>
          <w:sz w:val="24"/>
          <w:szCs w:val="24"/>
        </w:rPr>
        <w:t xml:space="preserve"> </w:t>
      </w:r>
      <w:r w:rsidR="00C5130D" w:rsidRPr="00111BE5">
        <w:rPr>
          <w:rFonts w:ascii="Times New Roman" w:hAnsi="Times New Roman"/>
          <w:sz w:val="24"/>
          <w:szCs w:val="24"/>
        </w:rPr>
        <w:t>(</w:t>
      </w:r>
      <w:r w:rsidR="00C5130D" w:rsidRPr="00111BE5">
        <w:rPr>
          <w:rFonts w:ascii="Times New Roman" w:hAnsi="Times New Roman"/>
          <w:i/>
          <w:sz w:val="24"/>
          <w:szCs w:val="24"/>
        </w:rPr>
        <w:t>Caremark PCS Health LLC v New Hampshire Department of Administrative Services</w:t>
      </w:r>
      <w:r w:rsidR="00C5130D" w:rsidRPr="00111BE5">
        <w:rPr>
          <w:rFonts w:ascii="Times New Roman" w:hAnsi="Times New Roman"/>
          <w:sz w:val="24"/>
          <w:szCs w:val="24"/>
        </w:rPr>
        <w:t>, 2015)</w:t>
      </w:r>
      <w:r w:rsidR="00587C00" w:rsidRPr="00111BE5">
        <w:rPr>
          <w:rFonts w:ascii="Times New Roman" w:hAnsi="Times New Roman"/>
          <w:sz w:val="24"/>
          <w:szCs w:val="24"/>
        </w:rPr>
        <w:t xml:space="preserve">. </w:t>
      </w:r>
      <w:r w:rsidR="0013373F" w:rsidRPr="00111BE5">
        <w:rPr>
          <w:rFonts w:ascii="Times New Roman" w:hAnsi="Times New Roman"/>
          <w:sz w:val="24"/>
          <w:szCs w:val="24"/>
        </w:rPr>
        <w:t xml:space="preserve">To qualify </w:t>
      </w:r>
      <w:r w:rsidR="0013608B" w:rsidRPr="00111BE5">
        <w:rPr>
          <w:rFonts w:ascii="Times New Roman" w:hAnsi="Times New Roman"/>
          <w:sz w:val="24"/>
          <w:szCs w:val="24"/>
        </w:rPr>
        <w:t>as trade</w:t>
      </w:r>
      <w:r w:rsidR="0013373F" w:rsidRPr="00111BE5">
        <w:rPr>
          <w:rFonts w:ascii="Times New Roman" w:hAnsi="Times New Roman"/>
          <w:sz w:val="24"/>
          <w:szCs w:val="24"/>
        </w:rPr>
        <w:t xml:space="preserve"> secrets, the NHUTSA prov</w:t>
      </w:r>
      <w:r w:rsidR="00A63BCA" w:rsidRPr="00111BE5">
        <w:rPr>
          <w:rFonts w:ascii="Times New Roman" w:hAnsi="Times New Roman"/>
          <w:sz w:val="24"/>
          <w:szCs w:val="24"/>
        </w:rPr>
        <w:t>ides that</w:t>
      </w:r>
      <w:r w:rsidR="0013608B" w:rsidRPr="00111BE5">
        <w:rPr>
          <w:rFonts w:ascii="Times New Roman" w:hAnsi="Times New Roman"/>
          <w:sz w:val="24"/>
          <w:szCs w:val="24"/>
        </w:rPr>
        <w:t xml:space="preserve">, </w:t>
      </w:r>
      <w:r w:rsidR="0013608B" w:rsidRPr="00111BE5">
        <w:rPr>
          <w:rFonts w:ascii="Times New Roman" w:hAnsi="Times New Roman"/>
          <w:i/>
          <w:sz w:val="24"/>
          <w:szCs w:val="24"/>
        </w:rPr>
        <w:t>inter alia,</w:t>
      </w:r>
      <w:r w:rsidR="00A63BCA" w:rsidRPr="00111BE5">
        <w:rPr>
          <w:rFonts w:ascii="Times New Roman" w:hAnsi="Times New Roman"/>
          <w:sz w:val="24"/>
          <w:szCs w:val="24"/>
        </w:rPr>
        <w:t xml:space="preserve"> efforts to maintain their secrecy must be apparent</w:t>
      </w:r>
      <w:r w:rsidR="0013608B" w:rsidRPr="00111BE5">
        <w:rPr>
          <w:rFonts w:ascii="Times New Roman" w:hAnsi="Times New Roman"/>
          <w:sz w:val="24"/>
          <w:szCs w:val="24"/>
        </w:rPr>
        <w:t xml:space="preserve">. </w:t>
      </w:r>
      <w:r w:rsidR="00541E4F" w:rsidRPr="00111BE5">
        <w:rPr>
          <w:rFonts w:ascii="Times New Roman" w:hAnsi="Times New Roman"/>
          <w:sz w:val="24"/>
          <w:szCs w:val="24"/>
        </w:rPr>
        <w:t xml:space="preserve">One example of obvious efforts to keep such information secret involves demands to sign non-disclosure or confidentiality agreements at the time of employment, and clear corporate policy guidelines on the status </w:t>
      </w:r>
      <w:r w:rsidR="00C65319" w:rsidRPr="00111BE5">
        <w:rPr>
          <w:rFonts w:ascii="Times New Roman" w:hAnsi="Times New Roman"/>
          <w:sz w:val="24"/>
          <w:szCs w:val="24"/>
        </w:rPr>
        <w:t xml:space="preserve">and use of such information. </w:t>
      </w:r>
      <w:r w:rsidR="00CB312A" w:rsidRPr="00111BE5">
        <w:rPr>
          <w:rFonts w:ascii="Times New Roman" w:hAnsi="Times New Roman"/>
          <w:sz w:val="24"/>
          <w:szCs w:val="24"/>
        </w:rPr>
        <w:t xml:space="preserve">The relevance of </w:t>
      </w:r>
      <w:r w:rsidR="00CB312A" w:rsidRPr="00111BE5">
        <w:rPr>
          <w:rFonts w:ascii="Times New Roman" w:hAnsi="Times New Roman"/>
          <w:i/>
          <w:sz w:val="24"/>
          <w:szCs w:val="24"/>
        </w:rPr>
        <w:t>Caremark PCS Health LLC v New Hampshire Department of Administrative Services</w:t>
      </w:r>
      <w:r w:rsidR="00CB312A" w:rsidRPr="00111BE5">
        <w:rPr>
          <w:rFonts w:ascii="Times New Roman" w:hAnsi="Times New Roman"/>
          <w:sz w:val="24"/>
          <w:szCs w:val="24"/>
        </w:rPr>
        <w:t xml:space="preserve"> case is that it clarifies on what the public record laws states of the Exclusive information exempt from disclosure. The case has similar facts with the current case Scenario as there was a contract between the New Hampshire Department of Administrative and Caremark PCS Health LLC which is similar to the current case Scenario where Greene's had </w:t>
      </w:r>
      <w:r w:rsidR="00CB312A" w:rsidRPr="00111BE5">
        <w:rPr>
          <w:rFonts w:ascii="Times New Roman" w:hAnsi="Times New Roman"/>
          <w:sz w:val="24"/>
          <w:szCs w:val="24"/>
        </w:rPr>
        <w:lastRenderedPageBreak/>
        <w:t xml:space="preserve">employed Jennifer. In the contract, Caremark had been entitled to injunctive and declaratory preventing the department from any form of disclosure of Caremark's proprietary information to any of their competitors whereas Jennifer had signed a confidential agreement with the Greene's not to disclose any information regarding the Ever-Gold. </w:t>
      </w:r>
    </w:p>
    <w:p w:rsidR="00CC3224" w:rsidRPr="00312D5D" w:rsidRDefault="00CB312A"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sz w:val="24"/>
          <w:szCs w:val="24"/>
        </w:rPr>
        <w:t xml:space="preserve">The legal issue in the </w:t>
      </w:r>
      <w:r w:rsidRPr="00111BE5">
        <w:rPr>
          <w:rFonts w:ascii="Times New Roman" w:hAnsi="Times New Roman"/>
          <w:i/>
          <w:sz w:val="24"/>
          <w:szCs w:val="24"/>
        </w:rPr>
        <w:t>Caremark PCS Health LLC v New Hampshire Department of Administrative Services</w:t>
      </w:r>
      <w:r w:rsidRPr="00111BE5">
        <w:rPr>
          <w:rFonts w:ascii="Times New Roman" w:hAnsi="Times New Roman"/>
          <w:sz w:val="24"/>
          <w:szCs w:val="24"/>
        </w:rPr>
        <w:t xml:space="preserve"> case was if the court was against the disclosure of trade secrets, thus whether the designated information was under the exemption in the Right to know the law for information the discloser of which is prohibited by statute. The court ruled that there was "misappropriation" in the disclosure of the Caremark's trade secrets by the New Hampshire Department of Administrative Services. The case ruling, therefore, indicates that the current case claims and defenses would succeed. The disclosure of the Green's trade secret by Jennifer who had signed a Confidentiality Agreement constituted a "misappropriation" which is prohibited by the statute.</w:t>
      </w:r>
    </w:p>
    <w:p w:rsidR="009C0DB7" w:rsidRPr="00111BE5" w:rsidRDefault="00C65319" w:rsidP="00312D5D">
      <w:pPr>
        <w:spacing w:after="0" w:line="480" w:lineRule="auto"/>
        <w:ind w:firstLine="720"/>
        <w:jc w:val="both"/>
        <w:rPr>
          <w:rFonts w:ascii="Times New Roman" w:hAnsi="Times New Roman"/>
          <w:b/>
          <w:sz w:val="24"/>
          <w:szCs w:val="24"/>
        </w:rPr>
      </w:pPr>
      <w:r w:rsidRPr="00111BE5">
        <w:rPr>
          <w:rFonts w:ascii="Times New Roman" w:hAnsi="Times New Roman"/>
          <w:sz w:val="24"/>
          <w:szCs w:val="24"/>
        </w:rPr>
        <w:t>Accordingly, an</w:t>
      </w:r>
      <w:r w:rsidR="00852634" w:rsidRPr="00111BE5">
        <w:rPr>
          <w:rFonts w:ascii="Times New Roman" w:hAnsi="Times New Roman"/>
          <w:sz w:val="24"/>
          <w:szCs w:val="24"/>
        </w:rPr>
        <w:t>y</w:t>
      </w:r>
      <w:r w:rsidRPr="00111BE5">
        <w:rPr>
          <w:rFonts w:ascii="Times New Roman" w:hAnsi="Times New Roman"/>
          <w:sz w:val="24"/>
          <w:szCs w:val="24"/>
        </w:rPr>
        <w:t xml:space="preserve"> misappropriation of trade secrets in violation of the NHUTSA is akin to breaching the confidentiality agreement that preceded the employee’s access to the confidential information. </w:t>
      </w:r>
      <w:r w:rsidR="00852634" w:rsidRPr="00111BE5">
        <w:rPr>
          <w:rFonts w:ascii="Times New Roman" w:hAnsi="Times New Roman"/>
          <w:sz w:val="24"/>
          <w:szCs w:val="24"/>
        </w:rPr>
        <w:t xml:space="preserve">The subsequent unauthorized use of such information in any way is, consequently, based on an </w:t>
      </w:r>
      <w:r w:rsidR="00F825DE" w:rsidRPr="00111BE5">
        <w:rPr>
          <w:rFonts w:ascii="Times New Roman" w:hAnsi="Times New Roman"/>
          <w:sz w:val="24"/>
          <w:szCs w:val="24"/>
        </w:rPr>
        <w:t>illegality predicated upon the violation of a contractual obligation.</w:t>
      </w:r>
      <w:r w:rsidR="00215DD1" w:rsidRPr="00111BE5">
        <w:rPr>
          <w:rFonts w:ascii="Times New Roman" w:hAnsi="Times New Roman"/>
          <w:sz w:val="24"/>
          <w:szCs w:val="24"/>
        </w:rPr>
        <w:t xml:space="preserve"> </w:t>
      </w:r>
      <w:r w:rsidR="009C0DB7" w:rsidRPr="00111BE5">
        <w:rPr>
          <w:rFonts w:ascii="Times New Roman" w:hAnsi="Times New Roman"/>
          <w:sz w:val="24"/>
          <w:szCs w:val="24"/>
        </w:rPr>
        <w:t xml:space="preserve">The process of manufacturing Ever-Gold qualifies as a trade secret under New Hampshire’ s law </w:t>
      </w:r>
      <w:r w:rsidR="00D21259" w:rsidRPr="00111BE5">
        <w:rPr>
          <w:rFonts w:ascii="Times New Roman" w:hAnsi="Times New Roman"/>
          <w:sz w:val="24"/>
          <w:szCs w:val="24"/>
        </w:rPr>
        <w:t>because it was the basis of Greene’s operation as well as taking account of</w:t>
      </w:r>
      <w:r w:rsidR="009C0DB7" w:rsidRPr="00111BE5">
        <w:rPr>
          <w:rFonts w:ascii="Times New Roman" w:hAnsi="Times New Roman"/>
          <w:sz w:val="24"/>
          <w:szCs w:val="24"/>
        </w:rPr>
        <w:t xml:space="preserve"> the obvious attempts to maintain its secrecy through confidentiality agreements. Therefore, Jennifer was contractually authorized to only use that information within Greene’s business limits and no more. </w:t>
      </w:r>
      <w:r w:rsidR="00D21259" w:rsidRPr="00111BE5">
        <w:rPr>
          <w:rFonts w:ascii="Times New Roman" w:hAnsi="Times New Roman"/>
          <w:sz w:val="24"/>
          <w:szCs w:val="24"/>
        </w:rPr>
        <w:t xml:space="preserve">Although she came across the detailed business process inadvertently, her subsequent use of the information to bargain for employment in a rival company constitutes a misappropriation of trade secrets </w:t>
      </w:r>
      <w:r w:rsidR="00D21259" w:rsidRPr="00111BE5">
        <w:rPr>
          <w:rFonts w:ascii="Times New Roman" w:hAnsi="Times New Roman"/>
          <w:sz w:val="24"/>
          <w:szCs w:val="24"/>
        </w:rPr>
        <w:lastRenderedPageBreak/>
        <w:t xml:space="preserve">contrary to the NHUTSA and a </w:t>
      </w:r>
      <w:r w:rsidR="00215DD1" w:rsidRPr="00111BE5">
        <w:rPr>
          <w:rFonts w:ascii="Times New Roman" w:hAnsi="Times New Roman"/>
          <w:sz w:val="24"/>
          <w:szCs w:val="24"/>
        </w:rPr>
        <w:t>basis for</w:t>
      </w:r>
      <w:r w:rsidR="00D21259" w:rsidRPr="00111BE5">
        <w:rPr>
          <w:rFonts w:ascii="Times New Roman" w:hAnsi="Times New Roman"/>
          <w:sz w:val="24"/>
          <w:szCs w:val="24"/>
        </w:rPr>
        <w:t xml:space="preserve"> a claim for a contractual breach of the confidentiality agreement between </w:t>
      </w:r>
      <w:r w:rsidR="00215DD1" w:rsidRPr="00111BE5">
        <w:rPr>
          <w:rFonts w:ascii="Times New Roman" w:hAnsi="Times New Roman"/>
          <w:sz w:val="24"/>
          <w:szCs w:val="24"/>
        </w:rPr>
        <w:t xml:space="preserve">Jennifer and Greene’s. </w:t>
      </w:r>
    </w:p>
    <w:p w:rsidR="00CC3224" w:rsidRPr="00111BE5" w:rsidRDefault="000D192E" w:rsidP="00312D5D">
      <w:pPr>
        <w:spacing w:after="0" w:line="480" w:lineRule="auto"/>
        <w:jc w:val="both"/>
        <w:rPr>
          <w:rFonts w:ascii="Times New Roman" w:hAnsi="Times New Roman"/>
          <w:b/>
          <w:sz w:val="24"/>
          <w:szCs w:val="24"/>
        </w:rPr>
      </w:pPr>
      <w:r w:rsidRPr="00111BE5">
        <w:rPr>
          <w:rFonts w:ascii="Times New Roman" w:hAnsi="Times New Roman"/>
          <w:b/>
          <w:sz w:val="24"/>
          <w:szCs w:val="24"/>
        </w:rPr>
        <w:t xml:space="preserve">Jennifer’s Termination </w:t>
      </w:r>
      <w:r w:rsidR="00EB7FD6" w:rsidRPr="00111BE5">
        <w:rPr>
          <w:rFonts w:ascii="Times New Roman" w:hAnsi="Times New Roman"/>
          <w:b/>
          <w:sz w:val="24"/>
          <w:szCs w:val="24"/>
        </w:rPr>
        <w:t xml:space="preserve">was </w:t>
      </w:r>
      <w:r w:rsidR="00C55A3D" w:rsidRPr="00111BE5">
        <w:rPr>
          <w:rFonts w:ascii="Times New Roman" w:hAnsi="Times New Roman"/>
          <w:b/>
          <w:sz w:val="24"/>
          <w:szCs w:val="24"/>
        </w:rPr>
        <w:t>Legitimate</w:t>
      </w:r>
      <w:r w:rsidR="00EB7FD6" w:rsidRPr="00111BE5">
        <w:rPr>
          <w:rFonts w:ascii="Times New Roman" w:hAnsi="Times New Roman"/>
          <w:b/>
          <w:sz w:val="24"/>
          <w:szCs w:val="24"/>
        </w:rPr>
        <w:t xml:space="preserve"> and </w:t>
      </w:r>
      <w:r w:rsidR="00C55A3D" w:rsidRPr="00111BE5">
        <w:rPr>
          <w:rFonts w:ascii="Times New Roman" w:hAnsi="Times New Roman"/>
          <w:b/>
          <w:sz w:val="24"/>
          <w:szCs w:val="24"/>
        </w:rPr>
        <w:t>Justifiable</w:t>
      </w:r>
      <w:r w:rsidR="00EB7FD6" w:rsidRPr="00111BE5">
        <w:rPr>
          <w:rFonts w:ascii="Times New Roman" w:hAnsi="Times New Roman"/>
          <w:b/>
          <w:sz w:val="24"/>
          <w:szCs w:val="24"/>
        </w:rPr>
        <w:t xml:space="preserve"> Business Decision</w:t>
      </w:r>
    </w:p>
    <w:p w:rsidR="007104C1" w:rsidRPr="00111BE5" w:rsidRDefault="009313B6" w:rsidP="00312D5D">
      <w:pPr>
        <w:spacing w:after="0" w:line="480" w:lineRule="auto"/>
        <w:ind w:firstLine="720"/>
        <w:contextualSpacing/>
        <w:jc w:val="both"/>
        <w:rPr>
          <w:rFonts w:ascii="Times New Roman" w:hAnsi="Times New Roman"/>
          <w:i/>
          <w:sz w:val="24"/>
          <w:szCs w:val="24"/>
        </w:rPr>
      </w:pPr>
      <w:r w:rsidRPr="00111BE5">
        <w:rPr>
          <w:rFonts w:ascii="Times New Roman" w:hAnsi="Times New Roman"/>
          <w:sz w:val="24"/>
          <w:szCs w:val="24"/>
        </w:rPr>
        <w:t xml:space="preserve">The at-will doctrine in employment is duly recognized law </w:t>
      </w:r>
      <w:r w:rsidR="004E5A0F" w:rsidRPr="00111BE5">
        <w:rPr>
          <w:rFonts w:ascii="Times New Roman" w:hAnsi="Times New Roman"/>
          <w:sz w:val="24"/>
          <w:szCs w:val="24"/>
        </w:rPr>
        <w:t>in New Hampshire. The doctrine stipulates that if there is no contractually defined term of employment, either party in an employment contract may terminate the relationship at any time</w:t>
      </w:r>
      <w:r w:rsidR="004E4A4C" w:rsidRPr="00111BE5">
        <w:rPr>
          <w:rFonts w:ascii="Times New Roman" w:hAnsi="Times New Roman"/>
          <w:sz w:val="24"/>
          <w:szCs w:val="24"/>
        </w:rPr>
        <w:t xml:space="preserve"> and for any reason that is not legally prohibited, regardless of notice. Legitimate and justifiable business decisions are sound grounds for the termination of the employme</w:t>
      </w:r>
      <w:r w:rsidR="0096175F" w:rsidRPr="00111BE5">
        <w:rPr>
          <w:rFonts w:ascii="Times New Roman" w:hAnsi="Times New Roman"/>
          <w:sz w:val="24"/>
          <w:szCs w:val="24"/>
        </w:rPr>
        <w:t xml:space="preserve">nt relationship by an employer by invoking the at-will employment doctrine.  However, it is imperative to note that anti-discrimination provisions constitute </w:t>
      </w:r>
      <w:r w:rsidR="007D4483" w:rsidRPr="00111BE5">
        <w:rPr>
          <w:rFonts w:ascii="Times New Roman" w:hAnsi="Times New Roman"/>
          <w:sz w:val="24"/>
          <w:szCs w:val="24"/>
        </w:rPr>
        <w:t>bars to the exercise of the at-will rule. Accordingly, a claim of wrongful termination may arise where the discharge from work is marred by malice or bad faith, or was in violation of a public policy</w:t>
      </w:r>
      <w:r w:rsidR="00060ABE" w:rsidRPr="00111BE5">
        <w:rPr>
          <w:rFonts w:ascii="Times New Roman" w:hAnsi="Times New Roman"/>
          <w:sz w:val="24"/>
          <w:szCs w:val="24"/>
        </w:rPr>
        <w:t xml:space="preserve"> (Grivois v. Wentworth-Douglass Hospital, 2014)</w:t>
      </w:r>
      <w:r w:rsidR="007D4483" w:rsidRPr="00111BE5">
        <w:rPr>
          <w:rFonts w:ascii="Times New Roman" w:hAnsi="Times New Roman"/>
          <w:sz w:val="24"/>
          <w:szCs w:val="24"/>
        </w:rPr>
        <w:t>.</w:t>
      </w:r>
      <w:r w:rsidR="007104C1" w:rsidRPr="00111BE5">
        <w:rPr>
          <w:rFonts w:ascii="Times New Roman" w:hAnsi="Times New Roman"/>
          <w:i/>
          <w:sz w:val="24"/>
          <w:szCs w:val="24"/>
        </w:rPr>
        <w:t xml:space="preserve"> </w:t>
      </w:r>
    </w:p>
    <w:p w:rsidR="007104C1" w:rsidRPr="00111BE5" w:rsidRDefault="007104C1"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i/>
          <w:sz w:val="24"/>
          <w:szCs w:val="24"/>
        </w:rPr>
        <w:t>Grivois v. Wentworth-Douglass Hospital</w:t>
      </w:r>
      <w:r w:rsidRPr="00111BE5">
        <w:rPr>
          <w:rFonts w:ascii="Times New Roman" w:hAnsi="Times New Roman"/>
          <w:sz w:val="24"/>
          <w:szCs w:val="24"/>
        </w:rPr>
        <w:t xml:space="preserve"> case is relevant to our current case as the New Hampshire federal trial court analyzes the law of wrongful discharge of an employee which relates well to the current case Scenario of Jennifer's Termination by the Greene's. There are similar facts between the cases where Under New Hampshire law an employee who in this case is Grivois held an employment-at-will relationship meaning that he/she can quit or be fired without prior notice or even reason. In the current case Scenario, Green's held the rights to fire Jennifer without a reason or prior notice as there was no contractual agreement on the period of employment. The current case will succeed in its claims and defenses as per the New Hampshire federal trial court ruling. According to the court, on the case for an employee to succeed in wrongful discharge claim, they must indicate clearly that the employer discharged them out of malice, bad faith or retaliation.</w:t>
      </w:r>
    </w:p>
    <w:p w:rsidR="00CC3224" w:rsidRPr="00111BE5" w:rsidRDefault="007D4483" w:rsidP="00312D5D">
      <w:pPr>
        <w:spacing w:after="0" w:line="480" w:lineRule="auto"/>
        <w:ind w:firstLine="720"/>
        <w:contextualSpacing/>
        <w:jc w:val="both"/>
        <w:rPr>
          <w:rFonts w:ascii="Times New Roman" w:hAnsi="Times New Roman"/>
          <w:sz w:val="24"/>
          <w:szCs w:val="24"/>
        </w:rPr>
      </w:pPr>
      <w:r w:rsidRPr="00111BE5">
        <w:rPr>
          <w:rFonts w:ascii="Times New Roman" w:hAnsi="Times New Roman"/>
          <w:sz w:val="24"/>
          <w:szCs w:val="24"/>
        </w:rPr>
        <w:lastRenderedPageBreak/>
        <w:t>Suffice to note that New Hampshire has extensive</w:t>
      </w:r>
      <w:r w:rsidR="00060ABE" w:rsidRPr="00111BE5">
        <w:rPr>
          <w:rFonts w:ascii="Times New Roman" w:hAnsi="Times New Roman"/>
          <w:sz w:val="24"/>
          <w:szCs w:val="24"/>
        </w:rPr>
        <w:t xml:space="preserve"> employment anti-discriminator</w:t>
      </w:r>
      <w:r w:rsidR="005C496F" w:rsidRPr="00111BE5">
        <w:rPr>
          <w:rFonts w:ascii="Times New Roman" w:hAnsi="Times New Roman"/>
          <w:sz w:val="24"/>
          <w:szCs w:val="24"/>
        </w:rPr>
        <w:t>y legislation modeled after the federal Title VII of the Civil Rights Act and implemented by RSA Chapter 354-A</w:t>
      </w:r>
      <w:r w:rsidR="00F41226" w:rsidRPr="00111BE5">
        <w:rPr>
          <w:rFonts w:ascii="Times New Roman" w:hAnsi="Times New Roman"/>
          <w:sz w:val="24"/>
          <w:szCs w:val="24"/>
        </w:rPr>
        <w:t xml:space="preserve"> (Law against Discrimination).</w:t>
      </w:r>
      <w:r w:rsidR="005C496F" w:rsidRPr="00111BE5">
        <w:rPr>
          <w:rFonts w:ascii="Times New Roman" w:hAnsi="Times New Roman"/>
          <w:sz w:val="24"/>
          <w:szCs w:val="24"/>
        </w:rPr>
        <w:t xml:space="preserve"> </w:t>
      </w:r>
      <w:r w:rsidR="00F41226" w:rsidRPr="00111BE5">
        <w:rPr>
          <w:rFonts w:ascii="Times New Roman" w:hAnsi="Times New Roman"/>
          <w:sz w:val="24"/>
          <w:szCs w:val="24"/>
        </w:rPr>
        <w:t xml:space="preserve">Accordingly, an estranged employee may bring a Title VII discrimination action as the basis for a claim of wrongful termination. </w:t>
      </w:r>
    </w:p>
    <w:p w:rsidR="0072018A" w:rsidRPr="00111BE5" w:rsidRDefault="00CC4429" w:rsidP="00312D5D">
      <w:pPr>
        <w:spacing w:after="0" w:line="480" w:lineRule="auto"/>
        <w:jc w:val="both"/>
        <w:rPr>
          <w:rFonts w:ascii="Times New Roman" w:hAnsi="Times New Roman"/>
          <w:b/>
          <w:sz w:val="24"/>
          <w:szCs w:val="24"/>
        </w:rPr>
      </w:pPr>
      <w:r w:rsidRPr="00111BE5">
        <w:rPr>
          <w:rFonts w:ascii="Times New Roman" w:hAnsi="Times New Roman"/>
          <w:sz w:val="24"/>
          <w:szCs w:val="24"/>
        </w:rPr>
        <w:t xml:space="preserve">Jennifer’s termination was in accordance with the at-will doctrine in employment. </w:t>
      </w:r>
      <w:r w:rsidR="00B8276E" w:rsidRPr="00111BE5">
        <w:rPr>
          <w:rFonts w:ascii="Times New Roman" w:hAnsi="Times New Roman"/>
          <w:sz w:val="24"/>
          <w:szCs w:val="24"/>
        </w:rPr>
        <w:t xml:space="preserve">Suffice to note that she only signed a confidentiality agreement when Greene’s employed her. Therefore, there is no contractual stipulation of a definite time of employment between her and the company. </w:t>
      </w:r>
      <w:r w:rsidR="00A81B79" w:rsidRPr="00111BE5">
        <w:rPr>
          <w:rFonts w:ascii="Times New Roman" w:hAnsi="Times New Roman"/>
          <w:sz w:val="24"/>
          <w:szCs w:val="24"/>
        </w:rPr>
        <w:t xml:space="preserve">Although Jennifer’s Title VII discrimination claim may be supported by the fact that she was dismissed upon her disclosure of her pregnancy, </w:t>
      </w:r>
      <w:r w:rsidR="00D70699" w:rsidRPr="00111BE5">
        <w:rPr>
          <w:rFonts w:ascii="Times New Roman" w:hAnsi="Times New Roman"/>
          <w:sz w:val="24"/>
          <w:szCs w:val="24"/>
        </w:rPr>
        <w:t xml:space="preserve">Greene’s asserts that her discharge was a legitimate and justifiable business decision influenced by the need to downsize the company out of economic concerns. </w:t>
      </w:r>
      <w:r w:rsidR="00C82001" w:rsidRPr="00111BE5">
        <w:rPr>
          <w:rFonts w:ascii="Times New Roman" w:hAnsi="Times New Roman"/>
          <w:sz w:val="24"/>
          <w:szCs w:val="24"/>
        </w:rPr>
        <w:t xml:space="preserve">Business decisions are sound grounds for the exercise of the at-will doctrine and neither </w:t>
      </w:r>
      <w:r w:rsidR="00CC3224" w:rsidRPr="00111BE5">
        <w:rPr>
          <w:rFonts w:ascii="Times New Roman" w:hAnsi="Times New Roman"/>
          <w:sz w:val="24"/>
          <w:szCs w:val="24"/>
        </w:rPr>
        <w:t>violates</w:t>
      </w:r>
      <w:r w:rsidR="00C82001" w:rsidRPr="00111BE5">
        <w:rPr>
          <w:rFonts w:ascii="Times New Roman" w:hAnsi="Times New Roman"/>
          <w:sz w:val="24"/>
          <w:szCs w:val="24"/>
        </w:rPr>
        <w:t xml:space="preserve"> nor are they prohibited by law. </w:t>
      </w:r>
      <w:r w:rsidR="00D70699" w:rsidRPr="00111BE5">
        <w:rPr>
          <w:rFonts w:ascii="Times New Roman" w:hAnsi="Times New Roman"/>
          <w:sz w:val="24"/>
          <w:szCs w:val="24"/>
        </w:rPr>
        <w:t xml:space="preserve"> </w:t>
      </w:r>
      <w:r w:rsidR="00F41226" w:rsidRPr="00111BE5">
        <w:rPr>
          <w:rFonts w:ascii="Times New Roman" w:hAnsi="Times New Roman"/>
          <w:sz w:val="24"/>
          <w:szCs w:val="24"/>
        </w:rPr>
        <w:t xml:space="preserve"> </w:t>
      </w:r>
      <w:r w:rsidR="005C496F" w:rsidRPr="00111BE5">
        <w:rPr>
          <w:rFonts w:ascii="Times New Roman" w:hAnsi="Times New Roman"/>
          <w:sz w:val="24"/>
          <w:szCs w:val="24"/>
        </w:rPr>
        <w:t xml:space="preserve"> </w:t>
      </w:r>
      <w:r w:rsidR="007D4483" w:rsidRPr="00111BE5">
        <w:rPr>
          <w:rFonts w:ascii="Times New Roman" w:hAnsi="Times New Roman"/>
          <w:sz w:val="24"/>
          <w:szCs w:val="24"/>
        </w:rPr>
        <w:t xml:space="preserve"> </w:t>
      </w:r>
      <w:r w:rsidR="0072018A" w:rsidRPr="00111BE5">
        <w:rPr>
          <w:rFonts w:ascii="Times New Roman" w:hAnsi="Times New Roman"/>
          <w:sz w:val="24"/>
          <w:szCs w:val="24"/>
        </w:rPr>
        <w:t xml:space="preserve"> </w:t>
      </w:r>
    </w:p>
    <w:p w:rsidR="00CC3224" w:rsidRPr="00111BE5" w:rsidRDefault="004B22E2" w:rsidP="00312D5D">
      <w:pPr>
        <w:spacing w:after="0" w:line="480" w:lineRule="auto"/>
        <w:jc w:val="both"/>
        <w:rPr>
          <w:rFonts w:ascii="Times New Roman" w:hAnsi="Times New Roman"/>
          <w:b/>
          <w:sz w:val="24"/>
          <w:szCs w:val="24"/>
        </w:rPr>
      </w:pPr>
      <w:r w:rsidRPr="00111BE5">
        <w:rPr>
          <w:rFonts w:ascii="Times New Roman" w:hAnsi="Times New Roman"/>
          <w:b/>
          <w:sz w:val="24"/>
          <w:szCs w:val="24"/>
        </w:rPr>
        <w:t xml:space="preserve">Impact Assessment </w:t>
      </w:r>
    </w:p>
    <w:p w:rsidR="00CC3224" w:rsidRPr="00111BE5" w:rsidRDefault="004B22E2" w:rsidP="00312D5D">
      <w:pPr>
        <w:spacing w:after="0" w:line="480" w:lineRule="auto"/>
        <w:ind w:firstLine="720"/>
        <w:jc w:val="both"/>
        <w:rPr>
          <w:rFonts w:ascii="Times New Roman" w:hAnsi="Times New Roman"/>
          <w:b/>
          <w:sz w:val="24"/>
          <w:szCs w:val="24"/>
        </w:rPr>
      </w:pPr>
      <w:r w:rsidRPr="00111BE5">
        <w:rPr>
          <w:rFonts w:ascii="Times New Roman" w:hAnsi="Times New Roman"/>
          <w:sz w:val="24"/>
          <w:szCs w:val="24"/>
        </w:rPr>
        <w:t xml:space="preserve">The application of the facts to the laws </w:t>
      </w:r>
      <w:r w:rsidR="00C05A65" w:rsidRPr="00111BE5">
        <w:rPr>
          <w:rFonts w:ascii="Times New Roman" w:hAnsi="Times New Roman"/>
          <w:sz w:val="24"/>
          <w:szCs w:val="24"/>
        </w:rPr>
        <w:t xml:space="preserve">reveals the strengths and the weaknesses of Greene’s arguments in court. The available precedence </w:t>
      </w:r>
      <w:r w:rsidR="00B2341F" w:rsidRPr="00111BE5">
        <w:rPr>
          <w:rFonts w:ascii="Times New Roman" w:hAnsi="Times New Roman"/>
          <w:sz w:val="24"/>
          <w:szCs w:val="24"/>
        </w:rPr>
        <w:t>reveals a high likelihood of success in the patent infringement claim against How</w:t>
      </w:r>
      <w:r w:rsidR="00B63D24" w:rsidRPr="00111BE5">
        <w:rPr>
          <w:rFonts w:ascii="Times New Roman" w:hAnsi="Times New Roman"/>
          <w:sz w:val="24"/>
          <w:szCs w:val="24"/>
        </w:rPr>
        <w:t>ell. The same is applicable in the claim for breach of confidential agreement against Jennifer. However, the case concerning Jennifer’s dis</w:t>
      </w:r>
      <w:r w:rsidR="00570FF6" w:rsidRPr="00111BE5">
        <w:rPr>
          <w:rFonts w:ascii="Times New Roman" w:hAnsi="Times New Roman"/>
          <w:sz w:val="24"/>
          <w:szCs w:val="24"/>
        </w:rPr>
        <w:t>missal presents a potential problem owing to the possible discrimination angle. Jennifer’s claim that she was dismissed because of her p</w:t>
      </w:r>
      <w:r w:rsidR="003433B5" w:rsidRPr="00111BE5">
        <w:rPr>
          <w:rFonts w:ascii="Times New Roman" w:hAnsi="Times New Roman"/>
          <w:sz w:val="24"/>
          <w:szCs w:val="24"/>
        </w:rPr>
        <w:t xml:space="preserve">regnancy </w:t>
      </w:r>
      <w:r w:rsidR="00CD2DD1" w:rsidRPr="00111BE5">
        <w:rPr>
          <w:rFonts w:ascii="Times New Roman" w:hAnsi="Times New Roman"/>
          <w:sz w:val="24"/>
          <w:szCs w:val="24"/>
        </w:rPr>
        <w:t>must</w:t>
      </w:r>
      <w:r w:rsidR="003433B5" w:rsidRPr="00111BE5">
        <w:rPr>
          <w:rFonts w:ascii="Times New Roman" w:hAnsi="Times New Roman"/>
          <w:sz w:val="24"/>
          <w:szCs w:val="24"/>
        </w:rPr>
        <w:t xml:space="preserve"> be weighed against </w:t>
      </w:r>
      <w:r w:rsidR="006F5F50" w:rsidRPr="00111BE5">
        <w:rPr>
          <w:rFonts w:ascii="Times New Roman" w:hAnsi="Times New Roman"/>
          <w:sz w:val="24"/>
          <w:szCs w:val="24"/>
        </w:rPr>
        <w:t xml:space="preserve">the legitimacy of the business decision to downsize. The claim has the potential to go either way. Public perception </w:t>
      </w:r>
      <w:r w:rsidR="00D1280B" w:rsidRPr="00111BE5">
        <w:rPr>
          <w:rFonts w:ascii="Times New Roman" w:hAnsi="Times New Roman"/>
          <w:sz w:val="24"/>
          <w:szCs w:val="24"/>
        </w:rPr>
        <w:t xml:space="preserve">of the company may be adversely affected by the potential discrimination claims by Jennifer. Discrimination is a serious issue, especially where gender is involved, as evidenced by the </w:t>
      </w:r>
      <w:r w:rsidR="00D1280B" w:rsidRPr="00111BE5">
        <w:rPr>
          <w:rFonts w:ascii="Times New Roman" w:hAnsi="Times New Roman"/>
          <w:sz w:val="24"/>
          <w:szCs w:val="24"/>
        </w:rPr>
        <w:lastRenderedPageBreak/>
        <w:t xml:space="preserve">comprehensive </w:t>
      </w:r>
      <w:r w:rsidR="00CA4EF3" w:rsidRPr="00111BE5">
        <w:rPr>
          <w:rFonts w:ascii="Times New Roman" w:hAnsi="Times New Roman"/>
          <w:sz w:val="24"/>
          <w:szCs w:val="24"/>
        </w:rPr>
        <w:t xml:space="preserve">legal and normative framework against the same. Therefore, such allegations have the potential of destroying </w:t>
      </w:r>
      <w:r w:rsidR="00950F38" w:rsidRPr="00111BE5">
        <w:rPr>
          <w:rFonts w:ascii="Times New Roman" w:hAnsi="Times New Roman"/>
          <w:sz w:val="24"/>
          <w:szCs w:val="24"/>
        </w:rPr>
        <w:t xml:space="preserve">the company’s image in the eyes of the public. </w:t>
      </w:r>
    </w:p>
    <w:p w:rsidR="00950F38" w:rsidRPr="00111BE5" w:rsidRDefault="00950F38" w:rsidP="00312D5D">
      <w:pPr>
        <w:spacing w:after="0" w:line="480" w:lineRule="auto"/>
        <w:jc w:val="both"/>
        <w:rPr>
          <w:rFonts w:ascii="Times New Roman" w:hAnsi="Times New Roman"/>
          <w:b/>
          <w:sz w:val="24"/>
          <w:szCs w:val="24"/>
        </w:rPr>
      </w:pPr>
      <w:r w:rsidRPr="00111BE5">
        <w:rPr>
          <w:rFonts w:ascii="Times New Roman" w:hAnsi="Times New Roman"/>
          <w:sz w:val="24"/>
          <w:szCs w:val="24"/>
        </w:rPr>
        <w:t>Alleviating the damages to the company’s public image in th</w:t>
      </w:r>
      <w:r w:rsidR="00517A6A" w:rsidRPr="00111BE5">
        <w:rPr>
          <w:rFonts w:ascii="Times New Roman" w:hAnsi="Times New Roman"/>
          <w:sz w:val="24"/>
          <w:szCs w:val="24"/>
        </w:rPr>
        <w:t xml:space="preserve">is case can be best achieved by, in the first instance, proving that Jennifer’s dismissal was a sound and legitimate business decision, not marred by malice or bad faith in any way. </w:t>
      </w:r>
      <w:r w:rsidR="00466CA9" w:rsidRPr="00111BE5">
        <w:rPr>
          <w:rFonts w:ascii="Times New Roman" w:hAnsi="Times New Roman"/>
          <w:sz w:val="24"/>
          <w:szCs w:val="24"/>
        </w:rPr>
        <w:t xml:space="preserve">Primacy must be accorded to the importance of free will and self-determination as embodied </w:t>
      </w:r>
      <w:r w:rsidR="009D120D" w:rsidRPr="00111BE5">
        <w:rPr>
          <w:rFonts w:ascii="Times New Roman" w:hAnsi="Times New Roman"/>
          <w:sz w:val="24"/>
          <w:szCs w:val="24"/>
        </w:rPr>
        <w:t xml:space="preserve">by the at-will doctrine. Actions by Greene against Howell and Jennifer are necessary </w:t>
      </w:r>
      <w:r w:rsidR="00420E1F" w:rsidRPr="00111BE5">
        <w:rPr>
          <w:rFonts w:ascii="Times New Roman" w:hAnsi="Times New Roman"/>
          <w:sz w:val="24"/>
          <w:szCs w:val="24"/>
        </w:rPr>
        <w:t xml:space="preserve">as a way of securing and asserting the company’s rights, and to recoup its losses arising from the infringement. </w:t>
      </w:r>
      <w:r w:rsidR="0088245A" w:rsidRPr="00111BE5">
        <w:rPr>
          <w:rFonts w:ascii="Times New Roman" w:hAnsi="Times New Roman"/>
          <w:sz w:val="24"/>
          <w:szCs w:val="24"/>
        </w:rPr>
        <w:t xml:space="preserve">One way of avoiding similar situations in the future requires modifying the company’s policy on employee dismissal by </w:t>
      </w:r>
      <w:r w:rsidR="00B653BC" w:rsidRPr="00111BE5">
        <w:rPr>
          <w:rFonts w:ascii="Times New Roman" w:hAnsi="Times New Roman"/>
          <w:sz w:val="24"/>
          <w:szCs w:val="24"/>
        </w:rPr>
        <w:t>stipulating definite employment periods rather than relying on the at-will doctrine. A</w:t>
      </w:r>
      <w:r w:rsidR="00105D6C" w:rsidRPr="00111BE5">
        <w:rPr>
          <w:rFonts w:ascii="Times New Roman" w:hAnsi="Times New Roman"/>
          <w:sz w:val="24"/>
          <w:szCs w:val="24"/>
        </w:rPr>
        <w:t xml:space="preserve">nother way would involve including non-compete </w:t>
      </w:r>
      <w:r w:rsidR="005E1761" w:rsidRPr="00111BE5">
        <w:rPr>
          <w:rFonts w:ascii="Times New Roman" w:hAnsi="Times New Roman"/>
          <w:sz w:val="24"/>
          <w:szCs w:val="24"/>
        </w:rPr>
        <w:t xml:space="preserve">provisions as a way of buttressing the confidentiality agreement. The company will also have to adjust its policy on employee maternity and paternity schedules </w:t>
      </w:r>
      <w:r w:rsidR="00CD2DD1" w:rsidRPr="00111BE5">
        <w:rPr>
          <w:rFonts w:ascii="Times New Roman" w:hAnsi="Times New Roman"/>
          <w:sz w:val="24"/>
          <w:szCs w:val="24"/>
        </w:rPr>
        <w:t>considering</w:t>
      </w:r>
      <w:r w:rsidR="005E1761" w:rsidRPr="00111BE5">
        <w:rPr>
          <w:rFonts w:ascii="Times New Roman" w:hAnsi="Times New Roman"/>
          <w:sz w:val="24"/>
          <w:szCs w:val="24"/>
        </w:rPr>
        <w:t xml:space="preserve"> the need to assure the public that it </w:t>
      </w:r>
      <w:r w:rsidR="00CD2DD1" w:rsidRPr="00111BE5">
        <w:rPr>
          <w:rFonts w:ascii="Times New Roman" w:hAnsi="Times New Roman"/>
          <w:sz w:val="24"/>
          <w:szCs w:val="24"/>
        </w:rPr>
        <w:t>follows</w:t>
      </w:r>
      <w:r w:rsidR="005E1761" w:rsidRPr="00111BE5">
        <w:rPr>
          <w:rFonts w:ascii="Times New Roman" w:hAnsi="Times New Roman"/>
          <w:sz w:val="24"/>
          <w:szCs w:val="24"/>
        </w:rPr>
        <w:t xml:space="preserve"> the anti-discrimination regime.  </w:t>
      </w:r>
    </w:p>
    <w:p w:rsidR="001F227A" w:rsidRPr="00111BE5" w:rsidRDefault="001F227A" w:rsidP="00312D5D">
      <w:pPr>
        <w:spacing w:after="0" w:line="480" w:lineRule="auto"/>
        <w:ind w:firstLine="720"/>
        <w:jc w:val="both"/>
        <w:rPr>
          <w:rFonts w:ascii="Times New Roman" w:hAnsi="Times New Roman"/>
          <w:sz w:val="24"/>
          <w:szCs w:val="24"/>
        </w:rPr>
      </w:pPr>
    </w:p>
    <w:p w:rsidR="001F227A" w:rsidRPr="00111BE5" w:rsidRDefault="001F227A" w:rsidP="00CC3224">
      <w:pPr>
        <w:spacing w:after="0" w:line="480" w:lineRule="auto"/>
        <w:ind w:firstLine="720"/>
        <w:rPr>
          <w:rFonts w:ascii="Times New Roman" w:hAnsi="Times New Roman"/>
          <w:sz w:val="24"/>
          <w:szCs w:val="24"/>
        </w:rPr>
      </w:pPr>
    </w:p>
    <w:p w:rsidR="001F227A" w:rsidRPr="00111BE5" w:rsidRDefault="001F227A" w:rsidP="00CC3224">
      <w:pPr>
        <w:spacing w:after="0" w:line="480" w:lineRule="auto"/>
        <w:ind w:firstLine="720"/>
        <w:rPr>
          <w:rFonts w:ascii="Times New Roman" w:hAnsi="Times New Roman"/>
          <w:sz w:val="24"/>
          <w:szCs w:val="24"/>
        </w:rPr>
      </w:pPr>
    </w:p>
    <w:p w:rsidR="001F227A" w:rsidRPr="00111BE5" w:rsidRDefault="001F227A" w:rsidP="00CC3224">
      <w:pPr>
        <w:spacing w:after="0" w:line="480" w:lineRule="auto"/>
        <w:ind w:firstLine="720"/>
        <w:rPr>
          <w:rFonts w:ascii="Times New Roman" w:hAnsi="Times New Roman"/>
          <w:sz w:val="24"/>
          <w:szCs w:val="24"/>
        </w:rPr>
      </w:pPr>
    </w:p>
    <w:p w:rsidR="001F227A" w:rsidRPr="00111BE5" w:rsidRDefault="001F227A" w:rsidP="00CC3224">
      <w:pPr>
        <w:spacing w:after="0" w:line="480" w:lineRule="auto"/>
        <w:ind w:firstLine="720"/>
        <w:rPr>
          <w:rFonts w:ascii="Times New Roman" w:hAnsi="Times New Roman"/>
          <w:sz w:val="24"/>
          <w:szCs w:val="24"/>
        </w:rPr>
      </w:pPr>
    </w:p>
    <w:p w:rsidR="001F227A" w:rsidRPr="00111BE5" w:rsidRDefault="001F227A" w:rsidP="00CC3224">
      <w:pPr>
        <w:spacing w:after="0" w:line="480" w:lineRule="auto"/>
        <w:ind w:firstLine="720"/>
        <w:rPr>
          <w:rFonts w:ascii="Times New Roman" w:hAnsi="Times New Roman"/>
          <w:sz w:val="24"/>
          <w:szCs w:val="24"/>
        </w:rPr>
      </w:pPr>
    </w:p>
    <w:p w:rsidR="001F227A" w:rsidRPr="00111BE5" w:rsidRDefault="001F227A" w:rsidP="00CC3224">
      <w:pPr>
        <w:spacing w:after="0" w:line="480" w:lineRule="auto"/>
        <w:ind w:firstLine="720"/>
        <w:rPr>
          <w:rFonts w:ascii="Times New Roman" w:hAnsi="Times New Roman"/>
          <w:sz w:val="24"/>
          <w:szCs w:val="24"/>
        </w:rPr>
      </w:pPr>
    </w:p>
    <w:p w:rsidR="001F227A" w:rsidRPr="00111BE5" w:rsidRDefault="001F227A" w:rsidP="00CC3224">
      <w:pPr>
        <w:spacing w:after="0" w:line="480" w:lineRule="auto"/>
        <w:ind w:firstLine="720"/>
        <w:rPr>
          <w:rFonts w:ascii="Times New Roman" w:hAnsi="Times New Roman"/>
          <w:sz w:val="24"/>
          <w:szCs w:val="24"/>
        </w:rPr>
      </w:pPr>
    </w:p>
    <w:p w:rsidR="00CC3224" w:rsidRDefault="00CC3224" w:rsidP="00114E7D">
      <w:pPr>
        <w:pStyle w:val="Heading2"/>
        <w:spacing w:before="0" w:beforeAutospacing="0" w:after="0" w:afterAutospacing="0" w:line="480" w:lineRule="auto"/>
        <w:rPr>
          <w:b w:val="0"/>
          <w:sz w:val="24"/>
          <w:szCs w:val="24"/>
        </w:rPr>
      </w:pPr>
    </w:p>
    <w:p w:rsidR="00312D5D" w:rsidRDefault="00312D5D" w:rsidP="00114E7D">
      <w:pPr>
        <w:pStyle w:val="Heading2"/>
        <w:spacing w:before="0" w:beforeAutospacing="0" w:after="0" w:afterAutospacing="0" w:line="480" w:lineRule="auto"/>
        <w:rPr>
          <w:b w:val="0"/>
          <w:sz w:val="24"/>
          <w:szCs w:val="24"/>
        </w:rPr>
      </w:pPr>
    </w:p>
    <w:p w:rsidR="00312D5D" w:rsidRPr="00111BE5" w:rsidRDefault="00312D5D" w:rsidP="00114E7D">
      <w:pPr>
        <w:pStyle w:val="Heading2"/>
        <w:spacing w:before="0" w:beforeAutospacing="0" w:after="0" w:afterAutospacing="0" w:line="480" w:lineRule="auto"/>
        <w:rPr>
          <w:b w:val="0"/>
          <w:sz w:val="24"/>
          <w:szCs w:val="24"/>
        </w:rPr>
      </w:pPr>
    </w:p>
    <w:p w:rsidR="00804C87" w:rsidRPr="00111BE5" w:rsidRDefault="00804C87" w:rsidP="00CC3224">
      <w:pPr>
        <w:pStyle w:val="Heading2"/>
        <w:spacing w:before="0" w:beforeAutospacing="0" w:after="0" w:afterAutospacing="0" w:line="480" w:lineRule="auto"/>
        <w:jc w:val="center"/>
        <w:rPr>
          <w:b w:val="0"/>
          <w:sz w:val="24"/>
          <w:szCs w:val="24"/>
        </w:rPr>
      </w:pPr>
      <w:r w:rsidRPr="00111BE5">
        <w:rPr>
          <w:b w:val="0"/>
          <w:sz w:val="24"/>
          <w:szCs w:val="24"/>
        </w:rPr>
        <w:t>References</w:t>
      </w:r>
    </w:p>
    <w:p w:rsidR="00804C87" w:rsidRPr="00111BE5" w:rsidRDefault="00804C87" w:rsidP="00CC3224">
      <w:pPr>
        <w:spacing w:after="0" w:line="480" w:lineRule="auto"/>
        <w:rPr>
          <w:rFonts w:ascii="Times New Roman" w:hAnsi="Times New Roman"/>
          <w:sz w:val="24"/>
          <w:szCs w:val="24"/>
        </w:rPr>
      </w:pPr>
      <w:r w:rsidRPr="00111BE5">
        <w:rPr>
          <w:rFonts w:ascii="Times New Roman" w:hAnsi="Times New Roman"/>
          <w:i/>
          <w:sz w:val="24"/>
          <w:szCs w:val="24"/>
        </w:rPr>
        <w:t>Alice Corp. v. CLS Bank International</w:t>
      </w:r>
      <w:r w:rsidRPr="00111BE5">
        <w:rPr>
          <w:rFonts w:ascii="Times New Roman" w:hAnsi="Times New Roman"/>
          <w:sz w:val="24"/>
          <w:szCs w:val="24"/>
        </w:rPr>
        <w:t>, 134 S. Ct. 2347 (US Supreme Court 2014).</w:t>
      </w:r>
    </w:p>
    <w:p w:rsidR="00804C87" w:rsidRPr="00111BE5" w:rsidRDefault="00804C87" w:rsidP="00CC3224">
      <w:pPr>
        <w:spacing w:after="0" w:line="480" w:lineRule="auto"/>
        <w:rPr>
          <w:rFonts w:ascii="Times New Roman" w:hAnsi="Times New Roman"/>
          <w:sz w:val="24"/>
          <w:szCs w:val="24"/>
        </w:rPr>
      </w:pPr>
      <w:r w:rsidRPr="00111BE5">
        <w:rPr>
          <w:rFonts w:ascii="Times New Roman" w:hAnsi="Times New Roman"/>
          <w:i/>
          <w:sz w:val="24"/>
          <w:szCs w:val="24"/>
        </w:rPr>
        <w:t>Bilski v. Kappos</w:t>
      </w:r>
      <w:r w:rsidRPr="00111BE5">
        <w:rPr>
          <w:rFonts w:ascii="Times New Roman" w:hAnsi="Times New Roman"/>
          <w:sz w:val="24"/>
          <w:szCs w:val="24"/>
        </w:rPr>
        <w:t>, 561 U.S. 593 (US Supreme Court 2010).</w:t>
      </w:r>
    </w:p>
    <w:p w:rsidR="00804C87" w:rsidRPr="00111BE5" w:rsidRDefault="00804C87" w:rsidP="00CC3224">
      <w:pPr>
        <w:spacing w:after="0" w:line="480" w:lineRule="auto"/>
        <w:rPr>
          <w:rFonts w:ascii="Times New Roman" w:hAnsi="Times New Roman"/>
          <w:sz w:val="24"/>
          <w:szCs w:val="24"/>
        </w:rPr>
      </w:pPr>
      <w:r w:rsidRPr="00111BE5">
        <w:rPr>
          <w:rFonts w:ascii="Times New Roman" w:hAnsi="Times New Roman"/>
          <w:i/>
          <w:sz w:val="24"/>
          <w:szCs w:val="24"/>
        </w:rPr>
        <w:t>CaremarkPCS Health, LLC v. New Hampshire Dep’t of Admin. Services</w:t>
      </w:r>
      <w:r w:rsidRPr="00111BE5">
        <w:rPr>
          <w:rFonts w:ascii="Times New Roman" w:hAnsi="Times New Roman"/>
          <w:sz w:val="24"/>
          <w:szCs w:val="24"/>
        </w:rPr>
        <w:t>, 2014 - 120 WL 1941</w:t>
      </w:r>
      <w:r w:rsidR="001F227A" w:rsidRPr="00111BE5">
        <w:rPr>
          <w:rFonts w:ascii="Times New Roman" w:hAnsi="Times New Roman"/>
          <w:sz w:val="24"/>
          <w:szCs w:val="24"/>
        </w:rPr>
        <w:tab/>
      </w:r>
      <w:r w:rsidRPr="00111BE5">
        <w:rPr>
          <w:rFonts w:ascii="Times New Roman" w:hAnsi="Times New Roman"/>
          <w:sz w:val="24"/>
          <w:szCs w:val="24"/>
        </w:rPr>
        <w:t xml:space="preserve"> </w:t>
      </w:r>
      <w:r w:rsidR="001F227A" w:rsidRPr="00111BE5">
        <w:rPr>
          <w:rFonts w:ascii="Times New Roman" w:hAnsi="Times New Roman"/>
          <w:sz w:val="24"/>
          <w:szCs w:val="24"/>
        </w:rPr>
        <w:tab/>
      </w:r>
      <w:r w:rsidRPr="00111BE5">
        <w:rPr>
          <w:rFonts w:ascii="Times New Roman" w:hAnsi="Times New Roman"/>
          <w:sz w:val="24"/>
          <w:szCs w:val="24"/>
        </w:rPr>
        <w:t>(New Hampshire Supreme Court 2015).</w:t>
      </w:r>
    </w:p>
    <w:p w:rsidR="00804C87" w:rsidRPr="00111BE5" w:rsidRDefault="00804C87" w:rsidP="00CC3224">
      <w:pPr>
        <w:spacing w:after="0" w:line="480" w:lineRule="auto"/>
        <w:rPr>
          <w:rFonts w:ascii="Times New Roman" w:hAnsi="Times New Roman"/>
          <w:sz w:val="24"/>
          <w:szCs w:val="24"/>
        </w:rPr>
      </w:pPr>
      <w:r w:rsidRPr="00111BE5">
        <w:rPr>
          <w:rFonts w:ascii="Times New Roman" w:hAnsi="Times New Roman"/>
          <w:sz w:val="24"/>
          <w:szCs w:val="24"/>
        </w:rPr>
        <w:t xml:space="preserve">Clarkson, K., Miller, R., Cross, F., &amp; Clarkson, K. (2012). </w:t>
      </w:r>
      <w:r w:rsidRPr="00111BE5">
        <w:rPr>
          <w:rFonts w:ascii="Times New Roman" w:hAnsi="Times New Roman"/>
          <w:i/>
          <w:iCs/>
          <w:sz w:val="24"/>
          <w:szCs w:val="24"/>
        </w:rPr>
        <w:t>Business law</w:t>
      </w:r>
      <w:r w:rsidRPr="00111BE5">
        <w:rPr>
          <w:rFonts w:ascii="Times New Roman" w:hAnsi="Times New Roman"/>
          <w:sz w:val="24"/>
          <w:szCs w:val="24"/>
        </w:rPr>
        <w:t>. Mason, OH: South-</w:t>
      </w:r>
      <w:r w:rsidR="001F227A" w:rsidRPr="00111BE5">
        <w:rPr>
          <w:rFonts w:ascii="Times New Roman" w:hAnsi="Times New Roman"/>
          <w:sz w:val="24"/>
          <w:szCs w:val="24"/>
        </w:rPr>
        <w:tab/>
      </w:r>
      <w:r w:rsidRPr="00111BE5">
        <w:rPr>
          <w:rFonts w:ascii="Times New Roman" w:hAnsi="Times New Roman"/>
          <w:sz w:val="24"/>
          <w:szCs w:val="24"/>
        </w:rPr>
        <w:t>Western Cengage Learning.</w:t>
      </w:r>
    </w:p>
    <w:p w:rsidR="00804C87" w:rsidRPr="00111BE5" w:rsidRDefault="00804C87" w:rsidP="00CC3224">
      <w:pPr>
        <w:spacing w:after="0" w:line="480" w:lineRule="auto"/>
        <w:rPr>
          <w:rFonts w:ascii="Times New Roman" w:hAnsi="Times New Roman"/>
          <w:sz w:val="24"/>
          <w:szCs w:val="24"/>
        </w:rPr>
      </w:pPr>
      <w:r w:rsidRPr="00111BE5">
        <w:rPr>
          <w:rFonts w:ascii="Times New Roman" w:hAnsi="Times New Roman"/>
          <w:i/>
          <w:sz w:val="24"/>
          <w:szCs w:val="24"/>
        </w:rPr>
        <w:t>Grivois v. Wentworth-Douglass Hospital</w:t>
      </w:r>
      <w:r w:rsidRPr="00111BE5">
        <w:rPr>
          <w:rFonts w:ascii="Times New Roman" w:hAnsi="Times New Roman"/>
          <w:sz w:val="24"/>
          <w:szCs w:val="24"/>
        </w:rPr>
        <w:t>, 12 CV 131 (2014).</w:t>
      </w:r>
    </w:p>
    <w:p w:rsidR="00804C87" w:rsidRPr="00111BE5" w:rsidRDefault="00804C87" w:rsidP="00CC3224">
      <w:pPr>
        <w:spacing w:after="0" w:line="480" w:lineRule="auto"/>
        <w:rPr>
          <w:rFonts w:ascii="Times New Roman" w:hAnsi="Times New Roman"/>
          <w:sz w:val="24"/>
          <w:szCs w:val="24"/>
        </w:rPr>
      </w:pPr>
      <w:r w:rsidRPr="00111BE5">
        <w:rPr>
          <w:rFonts w:ascii="Times New Roman" w:hAnsi="Times New Roman"/>
          <w:i/>
          <w:sz w:val="24"/>
          <w:szCs w:val="24"/>
        </w:rPr>
        <w:t>State Street Bank and Trust Company v. Signature Financial Group, Inc</w:t>
      </w:r>
      <w:r w:rsidRPr="00111BE5">
        <w:rPr>
          <w:rFonts w:ascii="Times New Roman" w:hAnsi="Times New Roman"/>
          <w:sz w:val="24"/>
          <w:szCs w:val="24"/>
        </w:rPr>
        <w:t xml:space="preserve">., 149 F.3d 1368 </w:t>
      </w:r>
      <w:r w:rsidR="001F227A" w:rsidRPr="00111BE5">
        <w:rPr>
          <w:rFonts w:ascii="Times New Roman" w:hAnsi="Times New Roman"/>
          <w:sz w:val="24"/>
          <w:szCs w:val="24"/>
        </w:rPr>
        <w:tab/>
      </w:r>
      <w:r w:rsidRPr="00111BE5">
        <w:rPr>
          <w:rFonts w:ascii="Times New Roman" w:hAnsi="Times New Roman"/>
          <w:sz w:val="24"/>
          <w:szCs w:val="24"/>
        </w:rPr>
        <w:t xml:space="preserve">(Federal </w:t>
      </w:r>
      <w:r w:rsidR="001F227A" w:rsidRPr="00111BE5">
        <w:rPr>
          <w:rFonts w:ascii="Times New Roman" w:hAnsi="Times New Roman"/>
          <w:sz w:val="24"/>
          <w:szCs w:val="24"/>
        </w:rPr>
        <w:t>Appellate</w:t>
      </w:r>
      <w:r w:rsidRPr="00111BE5">
        <w:rPr>
          <w:rFonts w:ascii="Times New Roman" w:hAnsi="Times New Roman"/>
          <w:sz w:val="24"/>
          <w:szCs w:val="24"/>
        </w:rPr>
        <w:t xml:space="preserve"> Court for the 3rd Circuit 1998).</w:t>
      </w:r>
    </w:p>
    <w:p w:rsidR="00B63136" w:rsidRPr="00111BE5" w:rsidRDefault="00B63136" w:rsidP="00CC3224">
      <w:pPr>
        <w:tabs>
          <w:tab w:val="left" w:pos="2790"/>
        </w:tabs>
        <w:spacing w:after="0" w:line="480" w:lineRule="auto"/>
        <w:rPr>
          <w:rFonts w:ascii="Times New Roman" w:hAnsi="Times New Roman"/>
          <w:sz w:val="24"/>
          <w:szCs w:val="24"/>
        </w:rPr>
      </w:pPr>
    </w:p>
    <w:sectPr w:rsidR="00B63136" w:rsidRPr="00111BE5" w:rsidSect="00253DA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891" w:rsidRDefault="00CA4891" w:rsidP="00253DAE">
      <w:pPr>
        <w:spacing w:after="0" w:line="240" w:lineRule="auto"/>
      </w:pPr>
      <w:r>
        <w:separator/>
      </w:r>
    </w:p>
  </w:endnote>
  <w:endnote w:type="continuationSeparator" w:id="0">
    <w:p w:rsidR="00CA4891" w:rsidRDefault="00CA4891" w:rsidP="0025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891" w:rsidRDefault="00CA4891" w:rsidP="00253DAE">
      <w:pPr>
        <w:spacing w:after="0" w:line="240" w:lineRule="auto"/>
      </w:pPr>
      <w:r>
        <w:separator/>
      </w:r>
    </w:p>
  </w:footnote>
  <w:footnote w:type="continuationSeparator" w:id="0">
    <w:p w:rsidR="00CA4891" w:rsidRDefault="00CA4891" w:rsidP="00253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87" w:rsidRPr="00804C87" w:rsidRDefault="00804C87" w:rsidP="00804C87">
    <w:pPr>
      <w:pStyle w:val="Header"/>
      <w:rPr>
        <w:rFonts w:ascii="Times New Roman" w:hAnsi="Times New Roman"/>
        <w:sz w:val="24"/>
        <w:szCs w:val="24"/>
      </w:rPr>
    </w:pPr>
    <w:r w:rsidRPr="00804C87">
      <w:rPr>
        <w:rFonts w:ascii="Times New Roman" w:hAnsi="Times New Roman"/>
        <w:sz w:val="24"/>
        <w:szCs w:val="24"/>
      </w:rPr>
      <w:t>GREENE’S LEGAL POSITION</w:t>
    </w:r>
    <w:r w:rsidR="00CC3224">
      <w:rPr>
        <w:rFonts w:ascii="Times New Roman" w:hAnsi="Times New Roman"/>
        <w:sz w:val="24"/>
        <w:szCs w:val="24"/>
      </w:rPr>
      <w:tab/>
    </w:r>
    <w:r w:rsidR="00CC3224">
      <w:rPr>
        <w:rFonts w:ascii="Times New Roman" w:hAnsi="Times New Roman"/>
        <w:sz w:val="24"/>
        <w:szCs w:val="24"/>
      </w:rPr>
      <w:tab/>
    </w:r>
    <w:r w:rsidRPr="00804C87">
      <w:rPr>
        <w:rFonts w:ascii="Times New Roman" w:hAnsi="Times New Roman"/>
        <w:sz w:val="24"/>
        <w:szCs w:val="24"/>
      </w:rPr>
      <w:fldChar w:fldCharType="begin"/>
    </w:r>
    <w:r w:rsidRPr="00804C87">
      <w:rPr>
        <w:rFonts w:ascii="Times New Roman" w:hAnsi="Times New Roman"/>
        <w:sz w:val="24"/>
        <w:szCs w:val="24"/>
      </w:rPr>
      <w:instrText xml:space="preserve"> PAGE   \* MERGEFORMAT </w:instrText>
    </w:r>
    <w:r w:rsidRPr="00804C87">
      <w:rPr>
        <w:rFonts w:ascii="Times New Roman" w:hAnsi="Times New Roman"/>
        <w:sz w:val="24"/>
        <w:szCs w:val="24"/>
      </w:rPr>
      <w:fldChar w:fldCharType="separate"/>
    </w:r>
    <w:r w:rsidR="004F111C">
      <w:rPr>
        <w:rFonts w:ascii="Times New Roman" w:hAnsi="Times New Roman"/>
        <w:noProof/>
        <w:sz w:val="24"/>
        <w:szCs w:val="24"/>
      </w:rPr>
      <w:t>2</w:t>
    </w:r>
    <w:r w:rsidRPr="00804C87">
      <w:rPr>
        <w:rFonts w:ascii="Times New Roman" w:hAnsi="Times New Roman"/>
        <w:sz w:val="24"/>
        <w:szCs w:val="24"/>
      </w:rPr>
      <w:fldChar w:fldCharType="end"/>
    </w:r>
  </w:p>
  <w:p w:rsidR="00804C87" w:rsidRPr="00804C87" w:rsidRDefault="00804C87" w:rsidP="00804C87">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FA" w:rsidRPr="000E7BDF" w:rsidRDefault="00C450FA" w:rsidP="000E7BDF">
    <w:pPr>
      <w:pStyle w:val="Header"/>
      <w:rPr>
        <w:rFonts w:ascii="Times New Roman" w:hAnsi="Times New Roman"/>
        <w:sz w:val="24"/>
        <w:szCs w:val="24"/>
      </w:rPr>
    </w:pPr>
    <w:r w:rsidRPr="000E7BDF">
      <w:rPr>
        <w:rFonts w:ascii="Times New Roman" w:hAnsi="Times New Roman"/>
        <w:sz w:val="24"/>
        <w:szCs w:val="24"/>
      </w:rPr>
      <w:t xml:space="preserve">Running head: </w:t>
    </w:r>
    <w:r>
      <w:rPr>
        <w:rFonts w:ascii="Times New Roman" w:hAnsi="Times New Roman"/>
        <w:sz w:val="24"/>
        <w:szCs w:val="24"/>
      </w:rPr>
      <w:t xml:space="preserve">GREENE’S </w:t>
    </w:r>
    <w:r w:rsidR="00804C87">
      <w:rPr>
        <w:rFonts w:ascii="Times New Roman" w:hAnsi="Times New Roman"/>
        <w:sz w:val="24"/>
        <w:szCs w:val="24"/>
      </w:rPr>
      <w:t xml:space="preserve">LEGAL </w:t>
    </w:r>
    <w:r>
      <w:rPr>
        <w:rFonts w:ascii="Times New Roman" w:hAnsi="Times New Roman"/>
        <w:sz w:val="24"/>
        <w:szCs w:val="24"/>
      </w:rPr>
      <w:t>POSITION</w:t>
    </w:r>
    <w:r w:rsidR="00CC3224">
      <w:rPr>
        <w:rFonts w:ascii="Times New Roman" w:hAnsi="Times New Roman"/>
        <w:sz w:val="24"/>
        <w:szCs w:val="24"/>
      </w:rPr>
      <w:tab/>
    </w:r>
    <w:r w:rsidR="00CC3224">
      <w:rPr>
        <w:rFonts w:ascii="Times New Roman" w:hAnsi="Times New Roman"/>
        <w:sz w:val="24"/>
        <w:szCs w:val="24"/>
      </w:rPr>
      <w:tab/>
    </w:r>
    <w:r w:rsidR="006F3742" w:rsidRPr="000E7BDF">
      <w:rPr>
        <w:rFonts w:ascii="Times New Roman" w:hAnsi="Times New Roman"/>
        <w:sz w:val="24"/>
        <w:szCs w:val="24"/>
      </w:rPr>
      <w:fldChar w:fldCharType="begin"/>
    </w:r>
    <w:r w:rsidRPr="000E7BDF">
      <w:rPr>
        <w:rFonts w:ascii="Times New Roman" w:hAnsi="Times New Roman"/>
        <w:sz w:val="24"/>
        <w:szCs w:val="24"/>
      </w:rPr>
      <w:instrText xml:space="preserve"> PAGE   \* MERGEFORMAT </w:instrText>
    </w:r>
    <w:r w:rsidR="006F3742" w:rsidRPr="000E7BDF">
      <w:rPr>
        <w:rFonts w:ascii="Times New Roman" w:hAnsi="Times New Roman"/>
        <w:sz w:val="24"/>
        <w:szCs w:val="24"/>
      </w:rPr>
      <w:fldChar w:fldCharType="separate"/>
    </w:r>
    <w:r w:rsidR="004F111C">
      <w:rPr>
        <w:rFonts w:ascii="Times New Roman" w:hAnsi="Times New Roman"/>
        <w:noProof/>
        <w:sz w:val="24"/>
        <w:szCs w:val="24"/>
      </w:rPr>
      <w:t>1</w:t>
    </w:r>
    <w:r w:rsidR="006F3742" w:rsidRPr="000E7BD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CF42C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AE"/>
    <w:rsid w:val="000057A6"/>
    <w:rsid w:val="0001515C"/>
    <w:rsid w:val="0002527A"/>
    <w:rsid w:val="00040E19"/>
    <w:rsid w:val="0005636B"/>
    <w:rsid w:val="00060ABE"/>
    <w:rsid w:val="000B34CB"/>
    <w:rsid w:val="000D192E"/>
    <w:rsid w:val="000E7BDF"/>
    <w:rsid w:val="00101A2A"/>
    <w:rsid w:val="00105D6C"/>
    <w:rsid w:val="00107B64"/>
    <w:rsid w:val="00107F3F"/>
    <w:rsid w:val="00111BE5"/>
    <w:rsid w:val="00114E7D"/>
    <w:rsid w:val="00125C80"/>
    <w:rsid w:val="0013373F"/>
    <w:rsid w:val="0013608B"/>
    <w:rsid w:val="00166392"/>
    <w:rsid w:val="00173452"/>
    <w:rsid w:val="00175D3E"/>
    <w:rsid w:val="001A3C72"/>
    <w:rsid w:val="001D202E"/>
    <w:rsid w:val="001F227A"/>
    <w:rsid w:val="00215DD1"/>
    <w:rsid w:val="00253DAE"/>
    <w:rsid w:val="00264DEC"/>
    <w:rsid w:val="00280415"/>
    <w:rsid w:val="00312D5D"/>
    <w:rsid w:val="003433B5"/>
    <w:rsid w:val="003440E9"/>
    <w:rsid w:val="00362B21"/>
    <w:rsid w:val="00366485"/>
    <w:rsid w:val="003D6099"/>
    <w:rsid w:val="003F7A7E"/>
    <w:rsid w:val="00402A48"/>
    <w:rsid w:val="00411510"/>
    <w:rsid w:val="00412AE6"/>
    <w:rsid w:val="00413BC7"/>
    <w:rsid w:val="00420E1F"/>
    <w:rsid w:val="00441065"/>
    <w:rsid w:val="00466CA9"/>
    <w:rsid w:val="00486855"/>
    <w:rsid w:val="004B22E2"/>
    <w:rsid w:val="004C697F"/>
    <w:rsid w:val="004D30AF"/>
    <w:rsid w:val="004E4A4C"/>
    <w:rsid w:val="004E4F65"/>
    <w:rsid w:val="004E5A0F"/>
    <w:rsid w:val="004F111C"/>
    <w:rsid w:val="0051372A"/>
    <w:rsid w:val="00517A6A"/>
    <w:rsid w:val="0052520A"/>
    <w:rsid w:val="00541E4F"/>
    <w:rsid w:val="00564BAC"/>
    <w:rsid w:val="00570FF6"/>
    <w:rsid w:val="00587C00"/>
    <w:rsid w:val="00591F62"/>
    <w:rsid w:val="005B039E"/>
    <w:rsid w:val="005C496F"/>
    <w:rsid w:val="005C646D"/>
    <w:rsid w:val="005D603C"/>
    <w:rsid w:val="005E1761"/>
    <w:rsid w:val="005F5DD7"/>
    <w:rsid w:val="00611871"/>
    <w:rsid w:val="006173D0"/>
    <w:rsid w:val="006342E2"/>
    <w:rsid w:val="00643F3D"/>
    <w:rsid w:val="006A42DD"/>
    <w:rsid w:val="006F3742"/>
    <w:rsid w:val="006F5F50"/>
    <w:rsid w:val="006F62BB"/>
    <w:rsid w:val="007104C1"/>
    <w:rsid w:val="007155D5"/>
    <w:rsid w:val="0072018A"/>
    <w:rsid w:val="00736A83"/>
    <w:rsid w:val="0074276B"/>
    <w:rsid w:val="00742A0B"/>
    <w:rsid w:val="007459B0"/>
    <w:rsid w:val="0074661C"/>
    <w:rsid w:val="00752A52"/>
    <w:rsid w:val="00762B59"/>
    <w:rsid w:val="007C5B71"/>
    <w:rsid w:val="007D4483"/>
    <w:rsid w:val="007D65D0"/>
    <w:rsid w:val="00804C87"/>
    <w:rsid w:val="00852634"/>
    <w:rsid w:val="00861C8D"/>
    <w:rsid w:val="00863DEE"/>
    <w:rsid w:val="00874CC3"/>
    <w:rsid w:val="0088245A"/>
    <w:rsid w:val="00917CC5"/>
    <w:rsid w:val="0093041B"/>
    <w:rsid w:val="009313B6"/>
    <w:rsid w:val="00950F38"/>
    <w:rsid w:val="009563EA"/>
    <w:rsid w:val="0096175F"/>
    <w:rsid w:val="00976E8E"/>
    <w:rsid w:val="009B09B1"/>
    <w:rsid w:val="009B4926"/>
    <w:rsid w:val="009C0D39"/>
    <w:rsid w:val="009C0DB7"/>
    <w:rsid w:val="009D120D"/>
    <w:rsid w:val="009E6F4D"/>
    <w:rsid w:val="009F50D1"/>
    <w:rsid w:val="00A1546B"/>
    <w:rsid w:val="00A63BCA"/>
    <w:rsid w:val="00A72928"/>
    <w:rsid w:val="00A76C36"/>
    <w:rsid w:val="00A8049B"/>
    <w:rsid w:val="00A81B79"/>
    <w:rsid w:val="00AA6220"/>
    <w:rsid w:val="00AD0305"/>
    <w:rsid w:val="00AD5719"/>
    <w:rsid w:val="00AE3E19"/>
    <w:rsid w:val="00B14655"/>
    <w:rsid w:val="00B2341F"/>
    <w:rsid w:val="00B31B60"/>
    <w:rsid w:val="00B55824"/>
    <w:rsid w:val="00B55EB0"/>
    <w:rsid w:val="00B63136"/>
    <w:rsid w:val="00B63D24"/>
    <w:rsid w:val="00B653BC"/>
    <w:rsid w:val="00B8276E"/>
    <w:rsid w:val="00BB0296"/>
    <w:rsid w:val="00BC37C9"/>
    <w:rsid w:val="00BC4491"/>
    <w:rsid w:val="00C05A65"/>
    <w:rsid w:val="00C450FA"/>
    <w:rsid w:val="00C5130D"/>
    <w:rsid w:val="00C55A3D"/>
    <w:rsid w:val="00C65319"/>
    <w:rsid w:val="00C82001"/>
    <w:rsid w:val="00C85B6F"/>
    <w:rsid w:val="00C87787"/>
    <w:rsid w:val="00CA4891"/>
    <w:rsid w:val="00CA4EF3"/>
    <w:rsid w:val="00CB312A"/>
    <w:rsid w:val="00CB6467"/>
    <w:rsid w:val="00CC3224"/>
    <w:rsid w:val="00CC4429"/>
    <w:rsid w:val="00CD2DD1"/>
    <w:rsid w:val="00CD7F89"/>
    <w:rsid w:val="00CE5CA6"/>
    <w:rsid w:val="00D01A44"/>
    <w:rsid w:val="00D1280B"/>
    <w:rsid w:val="00D21259"/>
    <w:rsid w:val="00D41340"/>
    <w:rsid w:val="00D54729"/>
    <w:rsid w:val="00D70699"/>
    <w:rsid w:val="00D85611"/>
    <w:rsid w:val="00E16DC5"/>
    <w:rsid w:val="00E63AB3"/>
    <w:rsid w:val="00E72EF0"/>
    <w:rsid w:val="00E73A1E"/>
    <w:rsid w:val="00E76D06"/>
    <w:rsid w:val="00EB7FD6"/>
    <w:rsid w:val="00EF4457"/>
    <w:rsid w:val="00F10CA6"/>
    <w:rsid w:val="00F41226"/>
    <w:rsid w:val="00F77C15"/>
    <w:rsid w:val="00F825DE"/>
    <w:rsid w:val="00FA0328"/>
    <w:rsid w:val="00FD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docId w15:val="{F0F01B82-C81D-4E6D-9F20-7C6D5835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F3742"/>
    <w:pPr>
      <w:spacing w:after="200" w:line="276" w:lineRule="auto"/>
    </w:pPr>
    <w:rPr>
      <w:sz w:val="22"/>
      <w:szCs w:val="22"/>
    </w:rPr>
  </w:style>
  <w:style w:type="paragraph" w:styleId="Heading2">
    <w:name w:val="heading 2"/>
    <w:basedOn w:val="Normal"/>
    <w:link w:val="Heading2Char"/>
    <w:uiPriority w:val="9"/>
    <w:qFormat/>
    <w:rsid w:val="00804C87"/>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DAE"/>
  </w:style>
  <w:style w:type="paragraph" w:styleId="Footer">
    <w:name w:val="footer"/>
    <w:basedOn w:val="Normal"/>
    <w:link w:val="FooterChar"/>
    <w:uiPriority w:val="99"/>
    <w:unhideWhenUsed/>
    <w:rsid w:val="0025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DAE"/>
  </w:style>
  <w:style w:type="character" w:customStyle="1" w:styleId="Heading2Char">
    <w:name w:val="Heading 2 Char"/>
    <w:link w:val="Heading2"/>
    <w:uiPriority w:val="9"/>
    <w:rsid w:val="00804C8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4C8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7239">
      <w:bodyDiv w:val="1"/>
      <w:marLeft w:val="0"/>
      <w:marRight w:val="0"/>
      <w:marTop w:val="0"/>
      <w:marBottom w:val="0"/>
      <w:divBdr>
        <w:top w:val="none" w:sz="0" w:space="0" w:color="auto"/>
        <w:left w:val="none" w:sz="0" w:space="0" w:color="auto"/>
        <w:bottom w:val="none" w:sz="0" w:space="0" w:color="auto"/>
        <w:right w:val="none" w:sz="0" w:space="0" w:color="auto"/>
      </w:divBdr>
      <w:divsChild>
        <w:div w:id="1169951601">
          <w:marLeft w:val="0"/>
          <w:marRight w:val="0"/>
          <w:marTop w:val="0"/>
          <w:marBottom w:val="0"/>
          <w:divBdr>
            <w:top w:val="none" w:sz="0" w:space="0" w:color="auto"/>
            <w:left w:val="none" w:sz="0" w:space="0" w:color="auto"/>
            <w:bottom w:val="none" w:sz="0" w:space="0" w:color="auto"/>
            <w:right w:val="none" w:sz="0" w:space="0" w:color="auto"/>
          </w:divBdr>
          <w:divsChild>
            <w:div w:id="15714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Kumyiah McDonald</cp:lastModifiedBy>
  <cp:revision>2</cp:revision>
  <dcterms:created xsi:type="dcterms:W3CDTF">2017-03-03T17:46:00Z</dcterms:created>
  <dcterms:modified xsi:type="dcterms:W3CDTF">2017-03-03T17:46:00Z</dcterms:modified>
</cp:coreProperties>
</file>