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FC" w:rsidRDefault="00056CFC" w:rsidP="003E1920">
      <w:bookmarkStart w:id="0" w:name="_GoBack"/>
      <w:bookmarkEnd w:id="0"/>
    </w:p>
    <w:p w:rsidR="00056CFC" w:rsidRDefault="00056CFC" w:rsidP="00056CFC">
      <w:pPr>
        <w:ind w:left="720"/>
      </w:pPr>
    </w:p>
    <w:p w:rsidR="00056CFC" w:rsidRDefault="00056CFC" w:rsidP="00056CFC">
      <w:pPr>
        <w:pStyle w:val="chnum"/>
        <w:rPr>
          <w:color w:val="000000"/>
        </w:rPr>
      </w:pPr>
      <w:hyperlink r:id="rId5" w:anchor="ch19" w:history="1">
        <w:r>
          <w:rPr>
            <w:rStyle w:val="red1"/>
            <w:color w:val="0000FF"/>
            <w:u w:val="single"/>
          </w:rPr>
          <w:t>19</w:t>
        </w:r>
      </w:hyperlink>
    </w:p>
    <w:p w:rsidR="00056CFC" w:rsidRDefault="00056CFC" w:rsidP="00056CFC">
      <w:pPr>
        <w:pStyle w:val="chtitle"/>
        <w:rPr>
          <w:color w:val="000000"/>
        </w:rPr>
      </w:pPr>
      <w:hyperlink r:id="rId6" w:anchor="ch19" w:history="1">
        <w:r>
          <w:rPr>
            <w:rStyle w:val="red1"/>
            <w:i/>
            <w:iCs/>
            <w:color w:val="0000FF"/>
            <w:u w:val="single"/>
          </w:rPr>
          <w:t>Basic Sociological Terms</w:t>
        </w:r>
      </w:hyperlink>
    </w:p>
    <w:p w:rsidR="00056CFC" w:rsidRDefault="00056CFC" w:rsidP="00056CFC">
      <w:pPr>
        <w:pStyle w:val="chsubtitle"/>
        <w:rPr>
          <w:color w:val="000000"/>
        </w:rPr>
      </w:pPr>
      <w:r>
        <w:rPr>
          <w:i/>
          <w:iCs/>
          <w:color w:val="000000"/>
        </w:rPr>
        <w:t>Max Weber</w:t>
      </w:r>
    </w:p>
    <w:p w:rsidR="00056CFC" w:rsidRDefault="00056CFC" w:rsidP="00056CFC">
      <w:pPr>
        <w:pStyle w:val="h1"/>
        <w:rPr>
          <w:color w:val="000000"/>
        </w:rPr>
      </w:pPr>
      <w:r>
        <w:rPr>
          <w:rStyle w:val="flag-all-caps"/>
          <w:b/>
          <w:bCs/>
          <w:color w:val="000000"/>
        </w:rPr>
        <w:t>THE DEFINITION OF SOCIOLOGY AND OF SOCIAL ACTION</w:t>
      </w:r>
    </w:p>
    <w:p w:rsidR="00056CFC" w:rsidRDefault="00056CFC" w:rsidP="00056CFC">
      <w:pPr>
        <w:pStyle w:val="noindent"/>
        <w:rPr>
          <w:color w:val="000000"/>
        </w:rPr>
      </w:pPr>
      <w:r>
        <w:rPr>
          <w:color w:val="000000"/>
        </w:rPr>
        <w:t>Sociology (in the sense in which this highly ambiguous word is used here) is a science concerning itself with the interpretive understanding of social action and thereby with a causal explanation of its course and consequences. We shall speak of “action” insofar as the acting individual attaches a subjective meaning to his behavior—be it overt or covert, omission or acquiescence. Action is “social” insofar as its subjective meaning takes account of the behavior of others and is thereby oriented in its course.</w:t>
      </w:r>
      <w:hyperlink r:id="rId7" w:anchor="note1" w:history="1">
        <w:r>
          <w:rPr>
            <w:rStyle w:val="hyperlink"/>
            <w:color w:val="0000FF"/>
            <w:u w:val="single"/>
            <w:vertAlign w:val="superscript"/>
          </w:rPr>
          <w:t>1</w:t>
        </w:r>
      </w:hyperlink>
    </w:p>
    <w:p w:rsidR="00056CFC" w:rsidRDefault="00056CFC" w:rsidP="00056CFC">
      <w:pPr>
        <w:pStyle w:val="h2"/>
        <w:rPr>
          <w:color w:val="000000"/>
        </w:rPr>
      </w:pPr>
      <w:r>
        <w:rPr>
          <w:b/>
          <w:bCs/>
          <w:color w:val="000000"/>
        </w:rPr>
        <w:t>Methodological foundations</w:t>
      </w:r>
      <w:hyperlink r:id="rId8" w:anchor="note2" w:history="1">
        <w:r>
          <w:rPr>
            <w:rStyle w:val="red"/>
            <w:b/>
            <w:bCs/>
            <w:color w:val="0000FF"/>
            <w:u w:val="single"/>
            <w:vertAlign w:val="superscript"/>
          </w:rPr>
          <w:t>2</w:t>
        </w:r>
      </w:hyperlink>
    </w:p>
    <w:p w:rsidR="00056CFC" w:rsidRDefault="00056CFC" w:rsidP="00056CFC">
      <w:pPr>
        <w:pStyle w:val="nlist2d"/>
        <w:rPr>
          <w:color w:val="000000"/>
        </w:rPr>
      </w:pPr>
      <w:r>
        <w:rPr>
          <w:color w:val="000000"/>
        </w:rPr>
        <w:t xml:space="preserve">  1.   “Meaning” may be of two kinds. The term may refer first to the actual existing meaning in the given concrete case of a particular actor, or to the average or approximate meaning attributable to a given plurality of actors; or secondly to the theoretically conceived </w:t>
      </w:r>
      <w:r>
        <w:rPr>
          <w:i/>
          <w:iCs/>
          <w:color w:val="000000"/>
        </w:rPr>
        <w:t>pure type</w:t>
      </w:r>
      <w:hyperlink r:id="rId9" w:anchor="note3" w:history="1">
        <w:r>
          <w:rPr>
            <w:rStyle w:val="hyperlink"/>
            <w:color w:val="0000FF"/>
            <w:u w:val="single"/>
            <w:vertAlign w:val="superscript"/>
          </w:rPr>
          <w:t>3</w:t>
        </w:r>
      </w:hyperlink>
      <w:r>
        <w:rPr>
          <w:color w:val="000000"/>
        </w:rPr>
        <w:t xml:space="preserve"> of subjective meaning attributed to the hypothetical actor or actors in a given type of action. In no case does it refer to an objectively “correct” meaning or one which is “true” in some metaphysical sense. It is this which distinguishes the empirical sciences of action, such as sociology and history, from the dogmatic disciplines in that area, such as jurisprudence, logic, ethics, and esthetics, which seek to ascertain the “true” and “valid” meanings associated with the objects of their investigation.</w:t>
      </w:r>
    </w:p>
    <w:p w:rsidR="00056CFC" w:rsidRDefault="00056CFC" w:rsidP="00056CFC">
      <w:pPr>
        <w:pStyle w:val="nlist2d"/>
        <w:rPr>
          <w:color w:val="000000"/>
        </w:rPr>
      </w:pPr>
      <w:r>
        <w:rPr>
          <w:color w:val="000000"/>
        </w:rPr>
        <w:t>  2.   The line between meaningful action and merely reactive behavior to which no subjective meaning is attached, cannot be sharply drawn empirically. A very considerable part of all sociologically relevant behavior, especially purely traditional behavior, is marginal between the two. In the case of some psychophysical processes, meaningful, i.e., subjectively understandable, action is not to be found at all; in others it is discernible only by the psychologist. Many mystical experiences which cannot be adequately communicated in words are, for a person who is not susceptible to such experiences, not fully understandable. At the same time the ability to perform a similar action is not a necessary prerequisite to understanding; “one need not have been Caesar in order to understand Caesar.” “Recapturing an experience” is important for accurate understanding, but not an absolute precondition for its interpretation. Understandable and non-understandable components of a process are often intermingled and bound up together.</w:t>
      </w:r>
    </w:p>
    <w:p w:rsidR="00056CFC" w:rsidRDefault="00056CFC" w:rsidP="00056CFC">
      <w:pPr>
        <w:pStyle w:val="nlist2d"/>
        <w:rPr>
          <w:color w:val="000000"/>
        </w:rPr>
      </w:pPr>
      <w:r>
        <w:rPr>
          <w:color w:val="000000"/>
        </w:rPr>
        <w:t>  3.   All interpretation of meaning, like all scientific observations, strives for clarity and verifiable accuracy of insight and comprehension (</w:t>
      </w:r>
      <w:proofErr w:type="spellStart"/>
      <w:r>
        <w:rPr>
          <w:i/>
          <w:iCs/>
          <w:color w:val="000000"/>
        </w:rPr>
        <w:t>Evidenz</w:t>
      </w:r>
      <w:proofErr w:type="spellEnd"/>
      <w:r>
        <w:rPr>
          <w:color w:val="000000"/>
        </w:rPr>
        <w:t>).</w:t>
      </w:r>
      <w:hyperlink r:id="rId10" w:anchor="note4" w:history="1">
        <w:r>
          <w:rPr>
            <w:rStyle w:val="hyperlink"/>
            <w:color w:val="0000FF"/>
            <w:u w:val="single"/>
            <w:vertAlign w:val="superscript"/>
          </w:rPr>
          <w:t>4</w:t>
        </w:r>
      </w:hyperlink>
      <w:r>
        <w:rPr>
          <w:color w:val="000000"/>
        </w:rPr>
        <w:t xml:space="preserve"> The basis for certainty in understanding can be either rational, which can be further subdivided into logical and mathematical, or it can be of an emotionally empathic or artistically appreciative quality. Action </w:t>
      </w:r>
      <w:r>
        <w:rPr>
          <w:color w:val="000000"/>
        </w:rPr>
        <w:lastRenderedPageBreak/>
        <w:t>is rationally evident chiefly when we attain a completely clear intellectual grasp of the action-elements in their intended context of meaning. Empathic or appreciative accuracy is attained when, through sympathetic participation, we can adequately grasp the emotional context in which the action took place. The highest degree of rational understanding is attained in cases involving the meanings of logically or mathematically related propositions; their meaning may be immediately and unambiguously intelligible. We have a perfectly clear understanding of what it means when somebody employs the proposition 2 × 2 = 4 or the Pythagorean theorem in reasoning or argument, or when someone correctly carries out a logical train of reasoning according to our accepted modes of thinking. In the same way we also understand what a person is doing when he tries to achieve certain ends by choosing appropriate means on the basis of the facts of the situation, as experience has accustomed us to interpret them. The interpretation of such rationally purposeful action possesses, for the understanding of the choice of means, the highest degree of verifiable certainty. With a lower degree of certainty, which is, however, adequate for most purposes of explanation, we are able to understand errors, including confusion of problems of the sort that we ourselves are liable to, or the origin of which we can detect by sympathetic self-analysis.</w:t>
      </w:r>
    </w:p>
    <w:p w:rsidR="00056CFC" w:rsidRDefault="00056CFC" w:rsidP="00056CFC">
      <w:pPr>
        <w:pStyle w:val="nlist2di"/>
        <w:rPr>
          <w:color w:val="000000"/>
        </w:rPr>
      </w:pPr>
      <w:r>
        <w:rPr>
          <w:color w:val="000000"/>
        </w:rPr>
        <w:t>On the other hand, many ultimate ends or values toward which experience shows that human action may be oriented, often cannot be understood completely, though sometimes we are able to grasp them intellectually. The more radically they differ from our own ultimate values, however, the more difficult it is for us to understand them empathically. Depending upon the circumstances of the particular case we must be content either with a purely intellectual understanding of such values or when even that fails, sometimes we must simply accept them as given data. Then we can try to understand the action motivated by them on the basis of whatever opportunities for approximate emotional and intellectual interpretation seem to be available at different points in its course. These difficulties confront, for instance, people not susceptible to unusual acts of religious and charitable zeal, or persons who abhor extreme rationalist fanaticism (such as the fanatic advocacy of the “rights of man”).</w:t>
      </w:r>
    </w:p>
    <w:p w:rsidR="00056CFC" w:rsidRDefault="00056CFC" w:rsidP="00056CFC">
      <w:pPr>
        <w:pStyle w:val="nlist2di"/>
        <w:rPr>
          <w:color w:val="000000"/>
        </w:rPr>
      </w:pPr>
      <w:r>
        <w:rPr>
          <w:color w:val="000000"/>
        </w:rPr>
        <w:t>The more we ourselves are susceptible to such emotional reactions as anxiety, anger, ambition, envy, jealousy, love, enthusiasm, pride, vengefulness, loyalty, devotion, and appetites of all sorts, and to the “irrational” conduct which grows out of them, the more readily can we empathize with them. Even when such emotions are found in a degree of intensity of which the observer himself is completely incapable, he can still have a significant degree of emotional understanding of their meaning and can interpret intellectually their influence on the course of action and the selection of means.</w:t>
      </w:r>
    </w:p>
    <w:p w:rsidR="00056CFC" w:rsidRDefault="00056CFC" w:rsidP="00056CFC">
      <w:pPr>
        <w:pStyle w:val="nlist2di"/>
        <w:rPr>
          <w:color w:val="000000"/>
        </w:rPr>
      </w:pPr>
      <w:r>
        <w:rPr>
          <w:color w:val="000000"/>
        </w:rPr>
        <w:t xml:space="preserve">For the purposes of a typological scientific analysis it is convenient to treat all irrational, </w:t>
      </w:r>
      <w:proofErr w:type="spellStart"/>
      <w:r>
        <w:rPr>
          <w:color w:val="000000"/>
        </w:rPr>
        <w:t>affectually</w:t>
      </w:r>
      <w:proofErr w:type="spellEnd"/>
      <w:r>
        <w:rPr>
          <w:color w:val="000000"/>
        </w:rPr>
        <w:t xml:space="preserve"> determined elements of behavior as factors of deviation from a conceptually pure type of rational action. For example a panic on the stock exchange can be most conveniently </w:t>
      </w:r>
      <w:proofErr w:type="spellStart"/>
      <w:r>
        <w:rPr>
          <w:color w:val="000000"/>
        </w:rPr>
        <w:t>analysed</w:t>
      </w:r>
      <w:proofErr w:type="spellEnd"/>
      <w:r>
        <w:rPr>
          <w:color w:val="000000"/>
        </w:rPr>
        <w:t xml:space="preserve"> by attempting to determine first what the course of action would have been if it had not been influenced by irrational affects; it is then possible to introduce the irrational components as accounting for the observed deviations from this hypothetical course. Similarly, in </w:t>
      </w:r>
      <w:proofErr w:type="spellStart"/>
      <w:r>
        <w:rPr>
          <w:color w:val="000000"/>
        </w:rPr>
        <w:t>analysing</w:t>
      </w:r>
      <w:proofErr w:type="spellEnd"/>
      <w:r>
        <w:rPr>
          <w:color w:val="000000"/>
        </w:rPr>
        <w:t xml:space="preserve"> a political or military campaign it is convenient to determine in the first place what would have been a rational course, given the ends of the participants and adequate knowledge of all the circumstances. Only in this way is it possible to assess the causal significance of irrational </w:t>
      </w:r>
      <w:r>
        <w:rPr>
          <w:color w:val="000000"/>
        </w:rPr>
        <w:lastRenderedPageBreak/>
        <w:t>factors as accounting for the deviations from this type. The construction of a purely rational course of action in such cases serves the sociologist as a type (ideal type) which has the merit of clear understandability and lack of ambiguity. By comparison with this it is possible to understand the ways in which actual action is influenced by irrational factors of all sorts, such as affects and errors, in that they account for the deviation from the line of conduct which would be expected on the hypothesis that the action were purely rational.</w:t>
      </w:r>
    </w:p>
    <w:p w:rsidR="00056CFC" w:rsidRDefault="00056CFC" w:rsidP="00056CFC">
      <w:pPr>
        <w:pStyle w:val="nlist2di"/>
        <w:rPr>
          <w:color w:val="000000"/>
        </w:rPr>
      </w:pPr>
      <w:r>
        <w:rPr>
          <w:color w:val="000000"/>
        </w:rPr>
        <w:t>Only in this respect and for these reasons of methodological convenience is the method of sociology “rationalistic.” It is naturally not legitimate to interpret this procedure as involving a rationalistic bias of sociology, but only as a methodological device. It certainly does not involve a belief in the actual predominance of rational elements in human life, for on the question of how far this predominance does or does not exist, nothing whatever has been said. That there is, however, a danger of rationalistic interpretations where they are out of place cannot be denied. All experience unfortunately confirms the existence of this danger.</w:t>
      </w:r>
    </w:p>
    <w:p w:rsidR="00056CFC" w:rsidRDefault="00056CFC" w:rsidP="00056CFC">
      <w:pPr>
        <w:pStyle w:val="nlist2d"/>
        <w:rPr>
          <w:color w:val="000000"/>
        </w:rPr>
      </w:pPr>
      <w:r>
        <w:rPr>
          <w:color w:val="000000"/>
        </w:rPr>
        <w:t xml:space="preserve">  4.   In all the sciences of human action, account must be taken of processes and phenomena which are devoid of subjective meaning, in the role of stimuli, results, favoring or hindering circumstances. To be devoid of meaning is not identical with being lifeless or non-human; every artifact, such as for example a machine, can be understood only in terms of the meaning which its production and use have had or were intended to have; a meaning which may derive from a relation to exceedingly various purposes. Without reference to this meaning such an object remains wholly unintelligible. That which is intelligible or understandable about it is thus its relation to human action in the role either of means or of end; a relation of which the actor or actors can be said to have been aware and to which their action has been oriented. Only in terms of such categories is it possible to “understand” objects of this kind. On the other hand processes or conditions, whether they are animate or inanimate, human or non-human, are in the present sense devoid of meaning in so far as they cannot be related to an intended purpose. That is to say they are devoid of meaning if they cannot be related to action in the role of means or ends but constitute only the stimulus, the favoring or hindering circumstances. It may be that the flooding of the </w:t>
      </w:r>
      <w:proofErr w:type="spellStart"/>
      <w:r>
        <w:rPr>
          <w:color w:val="000000"/>
        </w:rPr>
        <w:t>Dollart</w:t>
      </w:r>
      <w:proofErr w:type="spellEnd"/>
      <w:r>
        <w:rPr>
          <w:color w:val="000000"/>
        </w:rPr>
        <w:t xml:space="preserve"> [at the mouth of the Ems river near the Dutch–German border] in 1277 had historical significance as a stimulus to the beginning of certain migrations of considerable importance. Human mortality, indeed the organic life cycle from the helplessness of infancy to that of old age, is naturally of the very greatest sociological importance through the various ways in which human action has been oriented to these facts. To still another category of facts devoid of meaning belong certain psychic or psychophysical phenomena such as fatigue, habituation, memory, etc.; also certain typical states of euphoria under some conditions of ascetic mortification; finally, typical variations in the reactions of individuals according to reaction-time, precision, and other modes. But in the last analysis the same principle applies to these as to other phenomena which are devoid of meaning. Both the actor and the sociologist must accept them as data to be taken into account.</w:t>
      </w:r>
    </w:p>
    <w:p w:rsidR="00056CFC" w:rsidRDefault="00056CFC" w:rsidP="00056CFC">
      <w:pPr>
        <w:pStyle w:val="nlist2di"/>
        <w:rPr>
          <w:color w:val="000000"/>
        </w:rPr>
      </w:pPr>
      <w:r>
        <w:rPr>
          <w:color w:val="000000"/>
        </w:rPr>
        <w:t xml:space="preserve">It is possible that future research may be able to discover non-interpretable uniformities underlying what has appeared to be specifically meaningful action, though little has been accomplished in this direction thus far. Thus, for example, differences in hereditary biological constitution, as of “races,” would have to be treated by sociology as given data in the same way as the physiological facts of the need of nutrition or the effect of senescence on action. This </w:t>
      </w:r>
      <w:r>
        <w:rPr>
          <w:color w:val="000000"/>
        </w:rPr>
        <w:lastRenderedPageBreak/>
        <w:t>would be the case if, and insofar as, we had statistically conclusive proof of their influence on sociologically relevant behavior. The recognition of the causal significance of such factors would not in the least alter the specific task of sociological analysis or of that of the other sciences of action, which is the interpretation of action in terms of its subjective meaning. The effect would be only to introduce certain non-interpretable data of the same order as others which are already present, into the complex of subjectively understandable motivation at certain points. (Thus it may come to be known that there are typical relations between the frequency of certain types of teleological orientation of action or of the degree of certain kinds of rationality and the cephalic index or skin color or any other biologically inherited characteristic.)</w:t>
      </w:r>
    </w:p>
    <w:p w:rsidR="00056CFC" w:rsidRDefault="00056CFC" w:rsidP="00056CFC">
      <w:pPr>
        <w:pStyle w:val="NormalWeb"/>
        <w:rPr>
          <w:color w:val="000000"/>
        </w:rPr>
      </w:pPr>
      <w:r>
        <w:rPr>
          <w:color w:val="000000"/>
        </w:rPr>
        <w:t>(</w:t>
      </w:r>
      <w:proofErr w:type="spellStart"/>
      <w:r>
        <w:rPr>
          <w:color w:val="000000"/>
        </w:rPr>
        <w:t>Longhofer</w:t>
      </w:r>
      <w:proofErr w:type="spellEnd"/>
      <w:r>
        <w:rPr>
          <w:color w:val="000000"/>
        </w:rPr>
        <w:t xml:space="preserve"> 257-259)</w:t>
      </w:r>
    </w:p>
    <w:p w:rsidR="00056CFC" w:rsidRDefault="00056CFC" w:rsidP="00056CFC">
      <w:pPr>
        <w:pStyle w:val="NormalWeb"/>
        <w:ind w:left="720" w:hanging="720"/>
        <w:rPr>
          <w:color w:val="000000"/>
        </w:rPr>
      </w:pPr>
      <w:proofErr w:type="spellStart"/>
      <w:r>
        <w:rPr>
          <w:color w:val="000000"/>
        </w:rPr>
        <w:t>Longhofer</w:t>
      </w:r>
      <w:proofErr w:type="spellEnd"/>
      <w:r>
        <w:rPr>
          <w:color w:val="000000"/>
        </w:rPr>
        <w:t xml:space="preserve">, Wesley. </w:t>
      </w:r>
      <w:r>
        <w:rPr>
          <w:i/>
          <w:iCs/>
          <w:color w:val="000000"/>
        </w:rPr>
        <w:t>Social Theory Re-Wired, 2nd Edition</w:t>
      </w:r>
      <w:r>
        <w:rPr>
          <w:color w:val="000000"/>
        </w:rPr>
        <w:t xml:space="preserve">. Routledge, 20160331. </w:t>
      </w:r>
      <w:proofErr w:type="spellStart"/>
      <w:r>
        <w:rPr>
          <w:color w:val="000000"/>
        </w:rPr>
        <w:t>VitalBook</w:t>
      </w:r>
      <w:proofErr w:type="spellEnd"/>
      <w:r>
        <w:rPr>
          <w:color w:val="000000"/>
        </w:rPr>
        <w:t xml:space="preserve"> file.</w:t>
      </w:r>
    </w:p>
    <w:p w:rsidR="00056CFC" w:rsidRDefault="00056CFC" w:rsidP="00056CFC">
      <w:pPr>
        <w:pStyle w:val="NormalWeb"/>
        <w:rPr>
          <w:color w:val="000000"/>
        </w:rPr>
      </w:pPr>
      <w:r>
        <w:rPr>
          <w:color w:val="000000"/>
        </w:rPr>
        <w:t>The citation provided is a guideline. Please check each citation for accuracy before use.</w:t>
      </w:r>
    </w:p>
    <w:p w:rsidR="00056CFC" w:rsidRDefault="00056CFC" w:rsidP="00056CFC">
      <w:pPr>
        <w:ind w:left="720"/>
      </w:pPr>
    </w:p>
    <w:p w:rsidR="00056CFC" w:rsidRDefault="00056CFC" w:rsidP="00056CFC">
      <w:pPr>
        <w:ind w:left="720"/>
      </w:pPr>
    </w:p>
    <w:p w:rsidR="00056CFC" w:rsidRDefault="00056CFC" w:rsidP="00056CFC">
      <w:pPr>
        <w:ind w:left="720"/>
      </w:pPr>
    </w:p>
    <w:p w:rsidR="00056CFC" w:rsidRPr="00155789" w:rsidRDefault="00056CFC" w:rsidP="00056CFC">
      <w:pPr>
        <w:ind w:left="720"/>
      </w:pPr>
    </w:p>
    <w:p w:rsidR="00ED404E" w:rsidRDefault="00ED404E"/>
    <w:sectPr w:rsidR="00ED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859"/>
    <w:multiLevelType w:val="multilevel"/>
    <w:tmpl w:val="BF2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89"/>
    <w:rsid w:val="00056CFC"/>
    <w:rsid w:val="00155789"/>
    <w:rsid w:val="002065EF"/>
    <w:rsid w:val="00285584"/>
    <w:rsid w:val="003E1920"/>
    <w:rsid w:val="007554EF"/>
    <w:rsid w:val="00ED404E"/>
    <w:rsid w:val="00F4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7245"/>
  <w15:chartTrackingRefBased/>
  <w15:docId w15:val="{8549B55A-DBBD-4B79-93BA-6496C5AE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um">
    <w:name w:val="chnum"/>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DefaultParagraphFont"/>
    <w:rsid w:val="00056CFC"/>
  </w:style>
  <w:style w:type="character" w:customStyle="1" w:styleId="red1">
    <w:name w:val="red1"/>
    <w:basedOn w:val="DefaultParagraphFont"/>
    <w:rsid w:val="00056CFC"/>
  </w:style>
  <w:style w:type="paragraph" w:customStyle="1" w:styleId="chtitle">
    <w:name w:val="chtitle"/>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subtitle">
    <w:name w:val="chsubtitle"/>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all-caps">
    <w:name w:val="flag-all-caps"/>
    <w:basedOn w:val="DefaultParagraphFont"/>
    <w:rsid w:val="00056CFC"/>
  </w:style>
  <w:style w:type="paragraph" w:customStyle="1" w:styleId="noindent">
    <w:name w:val="noindent"/>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056CFC"/>
  </w:style>
  <w:style w:type="paragraph" w:customStyle="1" w:styleId="nlist2d">
    <w:name w:val="nlist2d"/>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ist2di">
    <w:name w:val="nlist2di"/>
    <w:basedOn w:val="Normal"/>
    <w:rsid w:val="00056C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217">
      <w:bodyDiv w:val="1"/>
      <w:marLeft w:val="0"/>
      <w:marRight w:val="0"/>
      <w:marTop w:val="0"/>
      <w:marBottom w:val="0"/>
      <w:divBdr>
        <w:top w:val="none" w:sz="0" w:space="0" w:color="auto"/>
        <w:left w:val="none" w:sz="0" w:space="0" w:color="auto"/>
        <w:bottom w:val="none" w:sz="0" w:space="0" w:color="auto"/>
        <w:right w:val="none" w:sz="0" w:space="0" w:color="auto"/>
      </w:divBdr>
      <w:divsChild>
        <w:div w:id="941259658">
          <w:marLeft w:val="0"/>
          <w:marRight w:val="0"/>
          <w:marTop w:val="0"/>
          <w:marBottom w:val="0"/>
          <w:divBdr>
            <w:top w:val="none" w:sz="0" w:space="0" w:color="auto"/>
            <w:left w:val="none" w:sz="0" w:space="0" w:color="auto"/>
            <w:bottom w:val="none" w:sz="0" w:space="0" w:color="auto"/>
            <w:right w:val="none" w:sz="0" w:space="0" w:color="auto"/>
          </w:divBdr>
        </w:div>
      </w:divsChild>
    </w:div>
    <w:div w:id="1843087779">
      <w:bodyDiv w:val="1"/>
      <w:marLeft w:val="0"/>
      <w:marRight w:val="0"/>
      <w:marTop w:val="0"/>
      <w:marBottom w:val="0"/>
      <w:divBdr>
        <w:top w:val="none" w:sz="0" w:space="0" w:color="auto"/>
        <w:left w:val="none" w:sz="0" w:space="0" w:color="auto"/>
        <w:bottom w:val="none" w:sz="0" w:space="0" w:color="auto"/>
        <w:right w:val="none" w:sz="0" w:space="0" w:color="auto"/>
      </w:divBdr>
      <w:divsChild>
        <w:div w:id="2133747792">
          <w:marLeft w:val="0"/>
          <w:marRight w:val="0"/>
          <w:marTop w:val="0"/>
          <w:marBottom w:val="0"/>
          <w:divBdr>
            <w:top w:val="none" w:sz="0" w:space="0" w:color="auto"/>
            <w:left w:val="none" w:sz="0" w:space="0" w:color="auto"/>
            <w:bottom w:val="none" w:sz="0" w:space="0" w:color="auto"/>
            <w:right w:val="none" w:sz="0" w:space="0" w:color="auto"/>
          </w:divBdr>
          <w:divsChild>
            <w:div w:id="1895655645">
              <w:marLeft w:val="0"/>
              <w:marRight w:val="0"/>
              <w:marTop w:val="0"/>
              <w:marBottom w:val="0"/>
              <w:divBdr>
                <w:top w:val="none" w:sz="0" w:space="0" w:color="auto"/>
                <w:left w:val="none" w:sz="0" w:space="0" w:color="auto"/>
                <w:bottom w:val="none" w:sz="0" w:space="0" w:color="auto"/>
                <w:right w:val="none" w:sz="0" w:space="0" w:color="auto"/>
              </w:divBdr>
            </w:div>
            <w:div w:id="899632847">
              <w:marLeft w:val="0"/>
              <w:marRight w:val="0"/>
              <w:marTop w:val="0"/>
              <w:marBottom w:val="0"/>
              <w:divBdr>
                <w:top w:val="none" w:sz="0" w:space="0" w:color="auto"/>
                <w:left w:val="none" w:sz="0" w:space="0" w:color="auto"/>
                <w:bottom w:val="none" w:sz="0" w:space="0" w:color="auto"/>
                <w:right w:val="none" w:sz="0" w:space="0" w:color="auto"/>
              </w:divBdr>
              <w:divsChild>
                <w:div w:id="1781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e.pub/qwx191epvq8e2gs4ifcx.vbk/OEBPS/ch0019.xlink.ht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e.pub/qwx191epvq8e2gs4ifcx.vbk/OEBPS/toc.xlink.html"/>
  <Relationship Id="rId6" Type="http://schemas.openxmlformats.org/officeDocument/2006/relationships/hyperlink" TargetMode="External" Target="http://e.pub/qwx191epvq8e2gs4ifcx.vbk/OEBPS/toc.xlink.html"/>
  <Relationship Id="rId7" Type="http://schemas.openxmlformats.org/officeDocument/2006/relationships/hyperlink" TargetMode="External" Target="http://e.pub/qwx191epvq8e2gs4ifcx.vbk/OEBPS/ch0019.xlink.html"/>
  <Relationship Id="rId8" Type="http://schemas.openxmlformats.org/officeDocument/2006/relationships/hyperlink" TargetMode="External" Target="http://e.pub/qwx191epvq8e2gs4ifcx.vbk/OEBPS/ch0019.xlink.html"/>
  <Relationship Id="rId9" Type="http://schemas.openxmlformats.org/officeDocument/2006/relationships/hyperlink" TargetMode="External" Target="http://e.pub/qwx191epvq8e2gs4ifcx.vbk/OEBPS/ch0019.xlink.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1836</Words>
  <Characters>10471</Characters>
  <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