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26" w:rsidRDefault="00667350" w:rsidP="00667350">
      <w:pPr>
        <w:pStyle w:val="Title"/>
        <w:jc w:val="center"/>
      </w:pPr>
      <w:r>
        <w:t>Green Kinetic Ltd.</w:t>
      </w:r>
    </w:p>
    <w:p w:rsidR="00667350" w:rsidRPr="000372C8" w:rsidRDefault="00667350" w:rsidP="000372C8">
      <w:pPr>
        <w:rPr>
          <w:sz w:val="40"/>
          <w:szCs w:val="40"/>
        </w:rPr>
      </w:pPr>
      <w:r w:rsidRPr="000372C8">
        <w:rPr>
          <w:sz w:val="40"/>
          <w:szCs w:val="40"/>
        </w:rPr>
        <w:t>MMK101 Assessment 1.</w:t>
      </w:r>
    </w:p>
    <w:p w:rsidR="00667350" w:rsidRPr="000372C8" w:rsidRDefault="00667350" w:rsidP="000372C8">
      <w:pPr>
        <w:rPr>
          <w:sz w:val="40"/>
          <w:szCs w:val="40"/>
        </w:rPr>
      </w:pPr>
      <w:r w:rsidRPr="000372C8">
        <w:rPr>
          <w:sz w:val="40"/>
          <w:szCs w:val="40"/>
        </w:rPr>
        <w:t>Market Environment Analysis.</w:t>
      </w:r>
    </w:p>
    <w:p w:rsidR="00667350" w:rsidRDefault="00667350" w:rsidP="00667350"/>
    <w:p w:rsidR="00667350" w:rsidRDefault="00667350" w:rsidP="00667350"/>
    <w:p w:rsidR="00667350" w:rsidRDefault="00667350" w:rsidP="00667350">
      <w:pPr>
        <w:rPr>
          <w:sz w:val="40"/>
          <w:szCs w:val="40"/>
        </w:rPr>
      </w:pPr>
      <w:r>
        <w:rPr>
          <w:sz w:val="40"/>
          <w:szCs w:val="40"/>
        </w:rPr>
        <w:t>Student Name: Ahmad Mohamad Abdallah</w:t>
      </w:r>
    </w:p>
    <w:p w:rsidR="00667350" w:rsidRDefault="00667350" w:rsidP="00667350">
      <w:pPr>
        <w:rPr>
          <w:sz w:val="40"/>
          <w:szCs w:val="40"/>
        </w:rPr>
      </w:pPr>
      <w:r>
        <w:rPr>
          <w:sz w:val="40"/>
          <w:szCs w:val="40"/>
        </w:rPr>
        <w:t>Student Number: 217375759</w:t>
      </w:r>
    </w:p>
    <w:sdt>
      <w:sdtPr>
        <w:id w:val="-142226340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AU"/>
        </w:rPr>
      </w:sdtEndPr>
      <w:sdtContent>
        <w:p w:rsidR="00BB678A" w:rsidRDefault="00BB678A">
          <w:pPr>
            <w:pStyle w:val="TOCHeading"/>
          </w:pPr>
          <w:r>
            <w:t>Contents</w:t>
          </w:r>
        </w:p>
        <w:p w:rsidR="00BB678A" w:rsidRDefault="00BB678A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089705" w:history="1">
            <w:r w:rsidRPr="00A360E1">
              <w:rPr>
                <w:rStyle w:val="Hyperlink"/>
                <w:noProof/>
              </w:rPr>
              <w:t>The Energy Industry, and its development in Australia: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_Toc479089705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678A" w:rsidRDefault="00BB678A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479089706" w:history="1">
            <w:r w:rsidRPr="00A360E1">
              <w:rPr>
                <w:rStyle w:val="Hyperlink"/>
                <w:noProof/>
              </w:rPr>
              <w:t>Relevant factors for Green Kinetic Ltd.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_Toc479089706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678A" w:rsidRDefault="00BB678A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479089707" w:history="1">
            <w:r w:rsidRPr="00A360E1">
              <w:rPr>
                <w:rStyle w:val="Hyperlink"/>
                <w:noProof/>
              </w:rPr>
              <w:t>Reference List: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_Toc479089707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678A" w:rsidRDefault="00BB678A">
          <w:r>
            <w:rPr>
              <w:b/>
              <w:bCs/>
              <w:noProof/>
            </w:rPr>
            <w:fldChar w:fldCharType="end"/>
          </w:r>
        </w:p>
      </w:sdtContent>
    </w:sdt>
    <w:p w:rsidR="00BB678A" w:rsidRDefault="00BB678A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92171E" w:rsidP="00667350">
      <w:pPr>
        <w:rPr>
          <w:sz w:val="40"/>
          <w:szCs w:val="40"/>
        </w:rPr>
      </w:pPr>
    </w:p>
    <w:p w:rsidR="0092171E" w:rsidRDefault="002378CE" w:rsidP="0092171E">
      <w:pPr>
        <w:pStyle w:val="Heading1"/>
        <w:rPr>
          <w:sz w:val="44"/>
          <w:szCs w:val="44"/>
        </w:rPr>
      </w:pPr>
      <w:bookmarkStart w:id="0" w:name="_Toc479089705"/>
      <w:r>
        <w:rPr>
          <w:sz w:val="44"/>
          <w:szCs w:val="44"/>
        </w:rPr>
        <w:t>The Energy Industry, and its development in</w:t>
      </w:r>
      <w:r w:rsidR="00EC739F">
        <w:rPr>
          <w:sz w:val="44"/>
          <w:szCs w:val="44"/>
        </w:rPr>
        <w:t xml:space="preserve"> Australia:</w:t>
      </w:r>
      <w:bookmarkEnd w:id="0"/>
    </w:p>
    <w:p w:rsidR="00EC739F" w:rsidRDefault="00EC739F" w:rsidP="00EC739F"/>
    <w:p w:rsidR="00EC739F" w:rsidRDefault="005D3EE3" w:rsidP="00EC739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Over the years, the </w:t>
      </w:r>
      <w:r w:rsidR="00D216DE">
        <w:rPr>
          <w:sz w:val="32"/>
          <w:szCs w:val="32"/>
        </w:rPr>
        <w:t xml:space="preserve">energy industry has used fossil fuels as a main source for generating energy into many needed forms such as electricity, but that </w:t>
      </w:r>
      <w:r w:rsidR="002378CE">
        <w:rPr>
          <w:sz w:val="32"/>
          <w:szCs w:val="32"/>
        </w:rPr>
        <w:t>has raised the production of gases which absorb heat and radiation</w:t>
      </w:r>
      <w:r w:rsidR="009C5E0D">
        <w:rPr>
          <w:sz w:val="32"/>
          <w:szCs w:val="32"/>
        </w:rPr>
        <w:t xml:space="preserve">s. </w:t>
      </w:r>
      <w:r w:rsidR="002378CE">
        <w:rPr>
          <w:sz w:val="32"/>
          <w:szCs w:val="32"/>
        </w:rPr>
        <w:t>Therefore, the need for supplying e</w:t>
      </w:r>
      <w:r w:rsidR="009C5E0D">
        <w:rPr>
          <w:sz w:val="32"/>
          <w:szCs w:val="32"/>
        </w:rPr>
        <w:t>nergy without producing polluting</w:t>
      </w:r>
      <w:r w:rsidR="0065361E">
        <w:rPr>
          <w:sz w:val="32"/>
          <w:szCs w:val="32"/>
        </w:rPr>
        <w:t xml:space="preserve"> </w:t>
      </w:r>
      <w:r w:rsidR="002378CE">
        <w:rPr>
          <w:sz w:val="32"/>
          <w:szCs w:val="32"/>
        </w:rPr>
        <w:t>products has become a crucial topic worldwide.</w:t>
      </w:r>
      <w:r w:rsidR="001041B7">
        <w:rPr>
          <w:sz w:val="32"/>
          <w:szCs w:val="32"/>
        </w:rPr>
        <w:t xml:space="preserve"> </w:t>
      </w:r>
      <w:proofErr w:type="spellStart"/>
      <w:r w:rsidR="001041B7">
        <w:rPr>
          <w:sz w:val="32"/>
          <w:szCs w:val="32"/>
        </w:rPr>
        <w:t>Dahal</w:t>
      </w:r>
      <w:proofErr w:type="spellEnd"/>
      <w:r w:rsidR="001041B7">
        <w:rPr>
          <w:sz w:val="32"/>
          <w:szCs w:val="32"/>
        </w:rPr>
        <w:t xml:space="preserve">, </w:t>
      </w:r>
      <w:proofErr w:type="spellStart"/>
      <w:r w:rsidR="001041B7">
        <w:rPr>
          <w:sz w:val="32"/>
          <w:szCs w:val="32"/>
        </w:rPr>
        <w:t>Nadarajah</w:t>
      </w:r>
      <w:proofErr w:type="spellEnd"/>
      <w:r w:rsidR="001041B7">
        <w:rPr>
          <w:sz w:val="32"/>
          <w:szCs w:val="32"/>
        </w:rPr>
        <w:t xml:space="preserve"> (2016) state that we have plentiful renewable resources such as wind and solar which we still use and are planning on developing them. </w:t>
      </w:r>
      <w:r w:rsidR="000372C8">
        <w:rPr>
          <w:sz w:val="32"/>
          <w:szCs w:val="32"/>
        </w:rPr>
        <w:t>Countries acknowledged the importance of renewable en</w:t>
      </w:r>
      <w:r w:rsidR="009C5E0D">
        <w:rPr>
          <w:sz w:val="32"/>
          <w:szCs w:val="32"/>
        </w:rPr>
        <w:t>ergy resources, and in 2013, 144 countries contributed to this movement</w:t>
      </w:r>
      <w:r w:rsidR="000372C8">
        <w:rPr>
          <w:sz w:val="32"/>
          <w:szCs w:val="32"/>
        </w:rPr>
        <w:t xml:space="preserve">, and the total investment </w:t>
      </w:r>
      <w:r w:rsidR="001041B7">
        <w:rPr>
          <w:sz w:val="32"/>
          <w:szCs w:val="32"/>
        </w:rPr>
        <w:t xml:space="preserve">in 2012 was $244 </w:t>
      </w:r>
      <w:proofErr w:type="gramStart"/>
      <w:r w:rsidR="001041B7">
        <w:rPr>
          <w:sz w:val="32"/>
          <w:szCs w:val="32"/>
        </w:rPr>
        <w:t>billion(</w:t>
      </w:r>
      <w:proofErr w:type="gramEnd"/>
      <w:r w:rsidR="001041B7">
        <w:rPr>
          <w:sz w:val="32"/>
          <w:szCs w:val="32"/>
        </w:rPr>
        <w:t>Hua, Oliphant, Hu 2016).</w:t>
      </w:r>
      <w:r w:rsidR="000372C8">
        <w:rPr>
          <w:sz w:val="32"/>
          <w:szCs w:val="32"/>
        </w:rPr>
        <w:t xml:space="preserve"> </w:t>
      </w:r>
      <w:r w:rsidR="00E63B73">
        <w:rPr>
          <w:sz w:val="32"/>
          <w:szCs w:val="32"/>
        </w:rPr>
        <w:t>The Australian governm</w:t>
      </w:r>
      <w:r w:rsidR="009C5E0D">
        <w:rPr>
          <w:sz w:val="32"/>
          <w:szCs w:val="32"/>
        </w:rPr>
        <w:t xml:space="preserve">ent </w:t>
      </w:r>
      <w:r w:rsidR="0065361E">
        <w:rPr>
          <w:sz w:val="32"/>
          <w:szCs w:val="32"/>
        </w:rPr>
        <w:t>approached the issue by starting</w:t>
      </w:r>
      <w:r w:rsidR="00E63B73">
        <w:rPr>
          <w:sz w:val="32"/>
          <w:szCs w:val="32"/>
        </w:rPr>
        <w:t xml:space="preserve"> the Renewable Energy Target(RET) movement to ensure that almost quarter of Australia’</w:t>
      </w:r>
      <w:r w:rsidR="009C5E0D">
        <w:rPr>
          <w:sz w:val="32"/>
          <w:szCs w:val="32"/>
        </w:rPr>
        <w:t>s electricity is</w:t>
      </w:r>
      <w:r w:rsidR="00E63B73">
        <w:rPr>
          <w:sz w:val="32"/>
          <w:szCs w:val="32"/>
        </w:rPr>
        <w:t xml:space="preserve"> from renewable res</w:t>
      </w:r>
      <w:r w:rsidR="001041B7">
        <w:rPr>
          <w:sz w:val="32"/>
          <w:szCs w:val="32"/>
        </w:rPr>
        <w:t>ources</w:t>
      </w:r>
      <w:r w:rsidR="00E63B73">
        <w:rPr>
          <w:sz w:val="32"/>
          <w:szCs w:val="32"/>
        </w:rPr>
        <w:t xml:space="preserve">. </w:t>
      </w:r>
      <w:r w:rsidR="00052CF3">
        <w:rPr>
          <w:sz w:val="32"/>
          <w:szCs w:val="32"/>
        </w:rPr>
        <w:t>They also lead organizations</w:t>
      </w:r>
      <w:r w:rsidR="00D02404">
        <w:rPr>
          <w:sz w:val="32"/>
          <w:szCs w:val="32"/>
        </w:rPr>
        <w:t xml:space="preserve"> such as Clean Energy Re</w:t>
      </w:r>
      <w:r w:rsidR="009C5E0D">
        <w:rPr>
          <w:sz w:val="32"/>
          <w:szCs w:val="32"/>
        </w:rPr>
        <w:t xml:space="preserve">gulator(CER), and </w:t>
      </w:r>
      <w:r w:rsidR="00D02404">
        <w:rPr>
          <w:sz w:val="32"/>
          <w:szCs w:val="32"/>
        </w:rPr>
        <w:t>non-governm</w:t>
      </w:r>
      <w:r w:rsidR="009C5E0D">
        <w:rPr>
          <w:sz w:val="32"/>
          <w:szCs w:val="32"/>
        </w:rPr>
        <w:t xml:space="preserve">ent organizations the </w:t>
      </w:r>
      <w:r w:rsidR="00D02404">
        <w:rPr>
          <w:sz w:val="32"/>
          <w:szCs w:val="32"/>
        </w:rPr>
        <w:t xml:space="preserve">renewable energy movement such as Australian PV </w:t>
      </w:r>
      <w:r w:rsidR="00D02404">
        <w:rPr>
          <w:sz w:val="32"/>
          <w:szCs w:val="32"/>
        </w:rPr>
        <w:lastRenderedPageBreak/>
        <w:t>Institute(A</w:t>
      </w:r>
      <w:r w:rsidR="009C5E0D">
        <w:rPr>
          <w:sz w:val="32"/>
          <w:szCs w:val="32"/>
        </w:rPr>
        <w:t>PVI)</w:t>
      </w:r>
      <w:r w:rsidR="001041B7">
        <w:rPr>
          <w:sz w:val="32"/>
          <w:szCs w:val="32"/>
        </w:rPr>
        <w:t xml:space="preserve"> </w:t>
      </w:r>
      <w:r w:rsidR="001041B7">
        <w:rPr>
          <w:sz w:val="32"/>
          <w:szCs w:val="32"/>
        </w:rPr>
        <w:t>(Hua, Oliphant, Hu 2016)</w:t>
      </w:r>
      <w:r w:rsidR="009C5E0D">
        <w:rPr>
          <w:sz w:val="32"/>
          <w:szCs w:val="32"/>
        </w:rPr>
        <w:t xml:space="preserve">. </w:t>
      </w:r>
      <w:r w:rsidR="00D02404">
        <w:rPr>
          <w:sz w:val="32"/>
          <w:szCs w:val="32"/>
        </w:rPr>
        <w:t xml:space="preserve">Green Kinetic Ltd. </w:t>
      </w:r>
      <w:r w:rsidR="009C5E0D">
        <w:rPr>
          <w:sz w:val="32"/>
          <w:szCs w:val="32"/>
        </w:rPr>
        <w:t>offers people</w:t>
      </w:r>
      <w:r w:rsidR="003652C1">
        <w:rPr>
          <w:sz w:val="32"/>
          <w:szCs w:val="32"/>
        </w:rPr>
        <w:t xml:space="preserve"> a b</w:t>
      </w:r>
      <w:r w:rsidR="009C5E0D">
        <w:rPr>
          <w:sz w:val="32"/>
          <w:szCs w:val="32"/>
        </w:rPr>
        <w:t>etter approach about</w:t>
      </w:r>
      <w:r w:rsidR="00052CF3">
        <w:rPr>
          <w:sz w:val="32"/>
          <w:szCs w:val="32"/>
        </w:rPr>
        <w:t xml:space="preserve"> renewable energy by </w:t>
      </w:r>
      <w:r w:rsidR="003652C1">
        <w:rPr>
          <w:sz w:val="32"/>
          <w:szCs w:val="32"/>
        </w:rPr>
        <w:t>using their new pro</w:t>
      </w:r>
      <w:r w:rsidR="00052CF3">
        <w:rPr>
          <w:sz w:val="32"/>
          <w:szCs w:val="32"/>
        </w:rPr>
        <w:t>duct through t</w:t>
      </w:r>
      <w:r w:rsidR="009C5E0D">
        <w:rPr>
          <w:sz w:val="32"/>
          <w:szCs w:val="32"/>
        </w:rPr>
        <w:t>he movement of individuals</w:t>
      </w:r>
      <w:r w:rsidR="003652C1">
        <w:rPr>
          <w:sz w:val="32"/>
          <w:szCs w:val="32"/>
        </w:rPr>
        <w:t>. Its relatively s</w:t>
      </w:r>
      <w:r w:rsidR="000372C8">
        <w:rPr>
          <w:sz w:val="32"/>
          <w:szCs w:val="32"/>
        </w:rPr>
        <w:t xml:space="preserve">mall, easy to use, </w:t>
      </w:r>
      <w:r w:rsidR="003652C1">
        <w:rPr>
          <w:sz w:val="32"/>
          <w:szCs w:val="32"/>
        </w:rPr>
        <w:t xml:space="preserve">has a simple </w:t>
      </w:r>
      <w:r w:rsidR="0065361E">
        <w:rPr>
          <w:sz w:val="32"/>
          <w:szCs w:val="32"/>
        </w:rPr>
        <w:t>concept</w:t>
      </w:r>
      <w:r w:rsidR="003652C1">
        <w:rPr>
          <w:sz w:val="32"/>
          <w:szCs w:val="32"/>
        </w:rPr>
        <w:t xml:space="preserve">, </w:t>
      </w:r>
      <w:r w:rsidR="000372C8">
        <w:rPr>
          <w:sz w:val="32"/>
          <w:szCs w:val="32"/>
        </w:rPr>
        <w:t xml:space="preserve">and it encourages human activity, </w:t>
      </w:r>
      <w:r w:rsidR="003652C1">
        <w:rPr>
          <w:sz w:val="32"/>
          <w:szCs w:val="32"/>
        </w:rPr>
        <w:t xml:space="preserve">unlike many other competing organizations. </w:t>
      </w:r>
    </w:p>
    <w:p w:rsidR="00303C52" w:rsidRDefault="00303C52" w:rsidP="00EC739F">
      <w:pPr>
        <w:spacing w:line="360" w:lineRule="auto"/>
        <w:rPr>
          <w:sz w:val="32"/>
          <w:szCs w:val="32"/>
        </w:rPr>
      </w:pPr>
    </w:p>
    <w:p w:rsidR="00303C52" w:rsidRDefault="00303C52" w:rsidP="00303C52">
      <w:pPr>
        <w:pStyle w:val="Heading1"/>
        <w:rPr>
          <w:sz w:val="44"/>
          <w:szCs w:val="44"/>
        </w:rPr>
      </w:pPr>
      <w:bookmarkStart w:id="1" w:name="_Toc479089706"/>
      <w:r>
        <w:rPr>
          <w:sz w:val="44"/>
          <w:szCs w:val="44"/>
        </w:rPr>
        <w:t>Relevant factors for Green</w:t>
      </w:r>
      <w:r w:rsidR="006C2E6E">
        <w:rPr>
          <w:sz w:val="44"/>
          <w:szCs w:val="44"/>
        </w:rPr>
        <w:t xml:space="preserve"> Kinetic</w:t>
      </w:r>
      <w:r>
        <w:rPr>
          <w:sz w:val="44"/>
          <w:szCs w:val="44"/>
        </w:rPr>
        <w:t xml:space="preserve"> Ltd.</w:t>
      </w:r>
      <w:bookmarkEnd w:id="1"/>
    </w:p>
    <w:p w:rsidR="00303C52" w:rsidRDefault="00303C52" w:rsidP="00303C52"/>
    <w:p w:rsidR="00303C52" w:rsidRDefault="00303C52" w:rsidP="00303C52">
      <w:pPr>
        <w:rPr>
          <w:sz w:val="32"/>
          <w:szCs w:val="32"/>
        </w:rPr>
      </w:pPr>
      <w:r>
        <w:rPr>
          <w:sz w:val="32"/>
          <w:szCs w:val="32"/>
        </w:rPr>
        <w:t>For any company</w:t>
      </w:r>
      <w:r w:rsidR="00C3643D">
        <w:rPr>
          <w:sz w:val="32"/>
          <w:szCs w:val="32"/>
        </w:rPr>
        <w:t>,</w:t>
      </w:r>
      <w:r w:rsidR="009C5E0D">
        <w:rPr>
          <w:sz w:val="32"/>
          <w:szCs w:val="32"/>
        </w:rPr>
        <w:t xml:space="preserve"> there are</w:t>
      </w:r>
      <w:r>
        <w:rPr>
          <w:sz w:val="32"/>
          <w:szCs w:val="32"/>
        </w:rPr>
        <w:t xml:space="preserve"> internal and external </w:t>
      </w:r>
      <w:r w:rsidR="00C3643D">
        <w:rPr>
          <w:sz w:val="32"/>
          <w:szCs w:val="32"/>
        </w:rPr>
        <w:t>factors which have an impact on them. The internal factors make up a company’s microenvironment which is based on the com</w:t>
      </w:r>
      <w:r w:rsidR="00052CF3">
        <w:rPr>
          <w:sz w:val="32"/>
          <w:szCs w:val="32"/>
        </w:rPr>
        <w:t xml:space="preserve">munication and promotion </w:t>
      </w:r>
      <w:r w:rsidR="00C3643D">
        <w:rPr>
          <w:sz w:val="32"/>
          <w:szCs w:val="32"/>
        </w:rPr>
        <w:t xml:space="preserve">within the company and its surrounding environment. The external factors make up the company’s </w:t>
      </w:r>
      <w:proofErr w:type="spellStart"/>
      <w:r w:rsidR="009C5E0D">
        <w:rPr>
          <w:sz w:val="32"/>
          <w:szCs w:val="32"/>
        </w:rPr>
        <w:t>ma</w:t>
      </w:r>
      <w:r w:rsidR="00C3643D">
        <w:rPr>
          <w:sz w:val="32"/>
          <w:szCs w:val="32"/>
        </w:rPr>
        <w:t>croenvironment</w:t>
      </w:r>
      <w:proofErr w:type="spellEnd"/>
      <w:r w:rsidR="00C3643D">
        <w:rPr>
          <w:sz w:val="32"/>
          <w:szCs w:val="32"/>
        </w:rPr>
        <w:t xml:space="preserve"> which is based on a wider view of what creates success for a company, or what are the guarantees fo</w:t>
      </w:r>
      <w:r w:rsidR="009C5E0D">
        <w:rPr>
          <w:sz w:val="32"/>
          <w:szCs w:val="32"/>
        </w:rPr>
        <w:t>r its success.</w:t>
      </w:r>
      <w:r w:rsidR="001041B7">
        <w:rPr>
          <w:sz w:val="32"/>
          <w:szCs w:val="32"/>
        </w:rPr>
        <w:t xml:space="preserve"> (Armstrong et al. 201</w:t>
      </w:r>
      <w:r w:rsidR="00306350">
        <w:rPr>
          <w:sz w:val="32"/>
          <w:szCs w:val="32"/>
        </w:rPr>
        <w:t>5, pp. 72-75).</w:t>
      </w:r>
    </w:p>
    <w:p w:rsidR="00887023" w:rsidRDefault="00887023" w:rsidP="00887023">
      <w:pPr>
        <w:pStyle w:val="Subtitle"/>
        <w:rPr>
          <w:sz w:val="36"/>
          <w:szCs w:val="36"/>
        </w:rPr>
      </w:pPr>
      <w:r>
        <w:rPr>
          <w:sz w:val="36"/>
          <w:szCs w:val="36"/>
        </w:rPr>
        <w:t>Green</w:t>
      </w:r>
      <w:r w:rsidR="00AC6467">
        <w:rPr>
          <w:sz w:val="36"/>
          <w:szCs w:val="36"/>
        </w:rPr>
        <w:t xml:space="preserve"> Kinetic</w:t>
      </w:r>
      <w:r>
        <w:rPr>
          <w:sz w:val="36"/>
          <w:szCs w:val="36"/>
        </w:rPr>
        <w:t xml:space="preserve"> Ltd. Microenvironment factors:</w:t>
      </w:r>
    </w:p>
    <w:p w:rsidR="006C2E6E" w:rsidRPr="006C2E6E" w:rsidRDefault="00887023" w:rsidP="006C2E6E">
      <w:pPr>
        <w:pStyle w:val="ListParagraph"/>
        <w:numPr>
          <w:ilvl w:val="0"/>
          <w:numId w:val="2"/>
        </w:numPr>
      </w:pPr>
      <w:r>
        <w:rPr>
          <w:sz w:val="32"/>
          <w:szCs w:val="32"/>
        </w:rPr>
        <w:t>Customers</w:t>
      </w:r>
      <w:r w:rsidR="00DC0FF8">
        <w:rPr>
          <w:sz w:val="32"/>
          <w:szCs w:val="32"/>
        </w:rPr>
        <w:t>:  It is essential for customers to be satisfied wit</w:t>
      </w:r>
      <w:r w:rsidR="00052CF3">
        <w:rPr>
          <w:sz w:val="32"/>
          <w:szCs w:val="32"/>
        </w:rPr>
        <w:t xml:space="preserve">h the price and quality of the product, </w:t>
      </w:r>
      <w:r w:rsidR="00DC0FF8">
        <w:rPr>
          <w:sz w:val="32"/>
          <w:szCs w:val="32"/>
        </w:rPr>
        <w:t>whether it fulfils their needs</w:t>
      </w:r>
      <w:r w:rsidR="006C2E6E">
        <w:rPr>
          <w:sz w:val="32"/>
          <w:szCs w:val="32"/>
        </w:rPr>
        <w:t>, or supports their ideas or beliefs</w:t>
      </w:r>
      <w:r w:rsidR="00DC0FF8">
        <w:rPr>
          <w:sz w:val="32"/>
          <w:szCs w:val="32"/>
        </w:rPr>
        <w:t>, and whether it ca</w:t>
      </w:r>
      <w:r w:rsidR="00052CF3">
        <w:rPr>
          <w:sz w:val="32"/>
          <w:szCs w:val="32"/>
        </w:rPr>
        <w:t>n encourage them</w:t>
      </w:r>
      <w:r w:rsidR="00306350">
        <w:rPr>
          <w:sz w:val="32"/>
          <w:szCs w:val="32"/>
        </w:rPr>
        <w:t xml:space="preserve"> in improving the product (</w:t>
      </w:r>
      <w:proofErr w:type="spellStart"/>
      <w:r w:rsidR="00306350">
        <w:rPr>
          <w:sz w:val="32"/>
          <w:szCs w:val="32"/>
        </w:rPr>
        <w:t>Yiling</w:t>
      </w:r>
      <w:proofErr w:type="spellEnd"/>
      <w:r w:rsidR="00306350">
        <w:rPr>
          <w:sz w:val="32"/>
          <w:szCs w:val="32"/>
        </w:rPr>
        <w:t xml:space="preserve"> 2016).</w:t>
      </w:r>
      <w:r w:rsidR="00DC0FF8">
        <w:rPr>
          <w:sz w:val="32"/>
          <w:szCs w:val="32"/>
        </w:rPr>
        <w:t xml:space="preserve"> Satisfaction of a customer can be linked with </w:t>
      </w:r>
      <w:r w:rsidR="00052CF3">
        <w:rPr>
          <w:sz w:val="32"/>
          <w:szCs w:val="32"/>
        </w:rPr>
        <w:t>promotion of the product in a customer base environment</w:t>
      </w:r>
      <w:r w:rsidR="00DC0FF8">
        <w:rPr>
          <w:sz w:val="32"/>
          <w:szCs w:val="32"/>
        </w:rPr>
        <w:t>, so it increases the product sales, and the life</w:t>
      </w:r>
      <w:r w:rsidR="00306350">
        <w:rPr>
          <w:sz w:val="32"/>
          <w:szCs w:val="32"/>
        </w:rPr>
        <w:t xml:space="preserve"> spam of the product,</w:t>
      </w:r>
      <w:r w:rsidR="00DC0FF8">
        <w:rPr>
          <w:sz w:val="32"/>
          <w:szCs w:val="32"/>
        </w:rPr>
        <w:t xml:space="preserve"> gain</w:t>
      </w:r>
      <w:r w:rsidR="00052CF3">
        <w:rPr>
          <w:sz w:val="32"/>
          <w:szCs w:val="32"/>
        </w:rPr>
        <w:t>ing</w:t>
      </w:r>
      <w:r w:rsidR="00DC0FF8">
        <w:rPr>
          <w:sz w:val="32"/>
          <w:szCs w:val="32"/>
        </w:rPr>
        <w:t xml:space="preserve"> customer loyalty, </w:t>
      </w:r>
      <w:r w:rsidR="00052CF3">
        <w:rPr>
          <w:sz w:val="32"/>
          <w:szCs w:val="32"/>
        </w:rPr>
        <w:t xml:space="preserve">and </w:t>
      </w:r>
      <w:r w:rsidR="00DC0FF8">
        <w:rPr>
          <w:sz w:val="32"/>
          <w:szCs w:val="32"/>
        </w:rPr>
        <w:t>dec</w:t>
      </w:r>
      <w:r w:rsidR="00052CF3">
        <w:rPr>
          <w:sz w:val="32"/>
          <w:szCs w:val="32"/>
        </w:rPr>
        <w:t>reasing the cost</w:t>
      </w:r>
      <w:r w:rsidR="009C5E0D">
        <w:rPr>
          <w:sz w:val="32"/>
          <w:szCs w:val="32"/>
        </w:rPr>
        <w:t xml:space="preserve"> for advertisements</w:t>
      </w:r>
      <w:r w:rsidR="00306350">
        <w:rPr>
          <w:sz w:val="32"/>
          <w:szCs w:val="32"/>
        </w:rPr>
        <w:t xml:space="preserve"> (</w:t>
      </w:r>
      <w:proofErr w:type="spellStart"/>
      <w:r w:rsidR="00306350">
        <w:rPr>
          <w:sz w:val="32"/>
          <w:szCs w:val="32"/>
        </w:rPr>
        <w:t>Yiling</w:t>
      </w:r>
      <w:proofErr w:type="spellEnd"/>
      <w:r w:rsidR="00306350">
        <w:rPr>
          <w:sz w:val="32"/>
          <w:szCs w:val="32"/>
        </w:rPr>
        <w:t xml:space="preserve"> 2016)</w:t>
      </w:r>
      <w:r w:rsidR="00052CF3">
        <w:rPr>
          <w:sz w:val="32"/>
          <w:szCs w:val="32"/>
        </w:rPr>
        <w:t xml:space="preserve">. </w:t>
      </w:r>
      <w:proofErr w:type="gramStart"/>
      <w:r w:rsidR="00052CF3">
        <w:rPr>
          <w:sz w:val="32"/>
          <w:szCs w:val="32"/>
        </w:rPr>
        <w:t>Also</w:t>
      </w:r>
      <w:proofErr w:type="gramEnd"/>
      <w:r w:rsidR="00052CF3">
        <w:rPr>
          <w:sz w:val="32"/>
          <w:szCs w:val="32"/>
        </w:rPr>
        <w:t xml:space="preserve"> </w:t>
      </w:r>
      <w:r w:rsidR="006C2E6E">
        <w:rPr>
          <w:sz w:val="32"/>
          <w:szCs w:val="32"/>
        </w:rPr>
        <w:t>encour</w:t>
      </w:r>
      <w:r w:rsidR="00BB678A">
        <w:rPr>
          <w:sz w:val="32"/>
          <w:szCs w:val="32"/>
        </w:rPr>
        <w:t>aging</w:t>
      </w:r>
      <w:r w:rsidR="006C2E6E">
        <w:rPr>
          <w:sz w:val="32"/>
          <w:szCs w:val="32"/>
        </w:rPr>
        <w:t xml:space="preserve"> </w:t>
      </w:r>
      <w:r w:rsidR="00052CF3">
        <w:rPr>
          <w:sz w:val="32"/>
          <w:szCs w:val="32"/>
        </w:rPr>
        <w:t>participation</w:t>
      </w:r>
      <w:r w:rsidR="006C2E6E">
        <w:rPr>
          <w:sz w:val="32"/>
          <w:szCs w:val="32"/>
        </w:rPr>
        <w:t xml:space="preserve"> </w:t>
      </w:r>
      <w:r w:rsidR="009C5E0D">
        <w:rPr>
          <w:sz w:val="32"/>
          <w:szCs w:val="32"/>
        </w:rPr>
        <w:t>in improving the product</w:t>
      </w:r>
      <w:r w:rsidR="00052CF3">
        <w:rPr>
          <w:sz w:val="32"/>
          <w:szCs w:val="32"/>
        </w:rPr>
        <w:t xml:space="preserve">, with </w:t>
      </w:r>
      <w:r w:rsidR="006C2E6E">
        <w:rPr>
          <w:sz w:val="32"/>
          <w:szCs w:val="32"/>
        </w:rPr>
        <w:t>surveys, or online re</w:t>
      </w:r>
      <w:r w:rsidR="009C5E0D">
        <w:rPr>
          <w:sz w:val="32"/>
          <w:szCs w:val="32"/>
        </w:rPr>
        <w:t xml:space="preserve">views </w:t>
      </w:r>
      <w:r w:rsidR="00306350">
        <w:rPr>
          <w:sz w:val="32"/>
          <w:szCs w:val="32"/>
        </w:rPr>
        <w:t>etc. and that creates a good link between customers and providers.</w:t>
      </w:r>
      <w:r w:rsidR="009C5E0D">
        <w:rPr>
          <w:sz w:val="32"/>
          <w:szCs w:val="32"/>
        </w:rPr>
        <w:t xml:space="preserve"> </w:t>
      </w:r>
      <w:r w:rsidR="00306350">
        <w:rPr>
          <w:sz w:val="32"/>
          <w:szCs w:val="32"/>
        </w:rPr>
        <w:t>(</w:t>
      </w:r>
      <w:proofErr w:type="spellStart"/>
      <w:r w:rsidR="00306350">
        <w:rPr>
          <w:sz w:val="32"/>
          <w:szCs w:val="32"/>
        </w:rPr>
        <w:t>Woojung</w:t>
      </w:r>
      <w:proofErr w:type="spellEnd"/>
      <w:r w:rsidR="00306350">
        <w:rPr>
          <w:sz w:val="32"/>
          <w:szCs w:val="32"/>
        </w:rPr>
        <w:t>, Taylor 2016).</w:t>
      </w:r>
    </w:p>
    <w:p w:rsidR="006C2E6E" w:rsidRPr="004D4810" w:rsidRDefault="006C2E6E" w:rsidP="006C2E6E">
      <w:pPr>
        <w:pStyle w:val="ListParagraph"/>
        <w:numPr>
          <w:ilvl w:val="0"/>
          <w:numId w:val="2"/>
        </w:numPr>
      </w:pPr>
      <w:r>
        <w:rPr>
          <w:sz w:val="32"/>
          <w:szCs w:val="32"/>
        </w:rPr>
        <w:lastRenderedPageBreak/>
        <w:t>Intermediaries</w:t>
      </w:r>
      <w:r w:rsidR="00052CF3">
        <w:rPr>
          <w:sz w:val="32"/>
          <w:szCs w:val="32"/>
        </w:rPr>
        <w:t>:  For a modern</w:t>
      </w:r>
      <w:r w:rsidR="004D4810">
        <w:rPr>
          <w:sz w:val="32"/>
          <w:szCs w:val="32"/>
        </w:rPr>
        <w:t xml:space="preserve"> product</w:t>
      </w:r>
      <w:r w:rsidR="001F34C0">
        <w:rPr>
          <w:sz w:val="32"/>
          <w:szCs w:val="32"/>
        </w:rPr>
        <w:t xml:space="preserve"> like ours, </w:t>
      </w:r>
      <w:r w:rsidR="004D4810">
        <w:rPr>
          <w:sz w:val="32"/>
          <w:szCs w:val="32"/>
        </w:rPr>
        <w:t>it is important to have intermediaries that</w:t>
      </w:r>
      <w:r w:rsidR="00855278">
        <w:rPr>
          <w:sz w:val="32"/>
          <w:szCs w:val="32"/>
        </w:rPr>
        <w:t xml:space="preserve"> can promote the technology and purpose of it. Intermediaries aim</w:t>
      </w:r>
      <w:r w:rsidR="004D4810">
        <w:rPr>
          <w:sz w:val="32"/>
          <w:szCs w:val="32"/>
        </w:rPr>
        <w:t xml:space="preserve"> to relieve both parties, buyers and sellers, by combining them to attain profits and reduce number</w:t>
      </w:r>
      <w:r w:rsidR="001F34C0">
        <w:rPr>
          <w:sz w:val="32"/>
          <w:szCs w:val="32"/>
        </w:rPr>
        <w:t>s</w:t>
      </w:r>
      <w:r w:rsidR="004D4810">
        <w:rPr>
          <w:sz w:val="32"/>
          <w:szCs w:val="32"/>
        </w:rPr>
        <w:t xml:space="preserve"> </w:t>
      </w:r>
      <w:r w:rsidR="00306350">
        <w:rPr>
          <w:sz w:val="32"/>
          <w:szCs w:val="32"/>
        </w:rPr>
        <w:t>and money complications as well as being a linkage for</w:t>
      </w:r>
      <w:r w:rsidR="004D4810">
        <w:rPr>
          <w:sz w:val="32"/>
          <w:szCs w:val="32"/>
        </w:rPr>
        <w:t xml:space="preserve"> clients and providers</w:t>
      </w:r>
      <w:r w:rsidR="00306350">
        <w:rPr>
          <w:sz w:val="32"/>
          <w:szCs w:val="32"/>
        </w:rPr>
        <w:t>,</w:t>
      </w:r>
      <w:r w:rsidR="004D4810">
        <w:rPr>
          <w:sz w:val="32"/>
          <w:szCs w:val="32"/>
        </w:rPr>
        <w:t xml:space="preserve"> the</w:t>
      </w:r>
      <w:r w:rsidR="00306350">
        <w:rPr>
          <w:sz w:val="32"/>
          <w:szCs w:val="32"/>
        </w:rPr>
        <w:t>refore, building a trusty relationship. (</w:t>
      </w:r>
      <w:proofErr w:type="spellStart"/>
      <w:r w:rsidR="00306350">
        <w:rPr>
          <w:sz w:val="32"/>
          <w:szCs w:val="32"/>
        </w:rPr>
        <w:t>Lobel</w:t>
      </w:r>
      <w:proofErr w:type="spellEnd"/>
      <w:r w:rsidR="00306350">
        <w:rPr>
          <w:sz w:val="32"/>
          <w:szCs w:val="32"/>
        </w:rPr>
        <w:t xml:space="preserve">, </w:t>
      </w:r>
      <w:proofErr w:type="spellStart"/>
      <w:r w:rsidR="00306350">
        <w:rPr>
          <w:sz w:val="32"/>
          <w:szCs w:val="32"/>
        </w:rPr>
        <w:t>Paulowitsch</w:t>
      </w:r>
      <w:proofErr w:type="spellEnd"/>
      <w:r w:rsidR="00306350">
        <w:rPr>
          <w:sz w:val="32"/>
          <w:szCs w:val="32"/>
        </w:rPr>
        <w:t xml:space="preserve">, </w:t>
      </w:r>
      <w:proofErr w:type="spellStart"/>
      <w:r w:rsidR="00306350">
        <w:rPr>
          <w:sz w:val="32"/>
          <w:szCs w:val="32"/>
        </w:rPr>
        <w:t>Schuppan</w:t>
      </w:r>
      <w:proofErr w:type="spellEnd"/>
      <w:r w:rsidR="00306350">
        <w:rPr>
          <w:sz w:val="32"/>
          <w:szCs w:val="32"/>
        </w:rPr>
        <w:t xml:space="preserve"> 2016).</w:t>
      </w:r>
    </w:p>
    <w:p w:rsidR="00AC6467" w:rsidRDefault="00AC6467" w:rsidP="00AC6467"/>
    <w:p w:rsidR="00AC6467" w:rsidRDefault="00AC6467" w:rsidP="00AC6467">
      <w:pPr>
        <w:pStyle w:val="Subtitle"/>
        <w:rPr>
          <w:sz w:val="36"/>
          <w:szCs w:val="36"/>
        </w:rPr>
      </w:pPr>
      <w:r>
        <w:rPr>
          <w:sz w:val="36"/>
          <w:szCs w:val="36"/>
        </w:rPr>
        <w:t>Green Kinetic</w:t>
      </w:r>
      <w:r w:rsidR="00E93807">
        <w:rPr>
          <w:sz w:val="36"/>
          <w:szCs w:val="36"/>
        </w:rPr>
        <w:t xml:space="preserve"> Ltd. </w:t>
      </w:r>
      <w:proofErr w:type="spellStart"/>
      <w:r w:rsidR="00E93807">
        <w:rPr>
          <w:sz w:val="36"/>
          <w:szCs w:val="36"/>
        </w:rPr>
        <w:t>Ma</w:t>
      </w:r>
      <w:r>
        <w:rPr>
          <w:sz w:val="36"/>
          <w:szCs w:val="36"/>
        </w:rPr>
        <w:t>croenvironment</w:t>
      </w:r>
      <w:proofErr w:type="spellEnd"/>
      <w:r>
        <w:rPr>
          <w:sz w:val="36"/>
          <w:szCs w:val="36"/>
        </w:rPr>
        <w:t xml:space="preserve"> factors:</w:t>
      </w:r>
    </w:p>
    <w:p w:rsidR="00AC6467" w:rsidRPr="00A47466" w:rsidRDefault="00E93807" w:rsidP="00AC6467">
      <w:pPr>
        <w:pStyle w:val="ListParagraph"/>
        <w:numPr>
          <w:ilvl w:val="0"/>
          <w:numId w:val="3"/>
        </w:numPr>
      </w:pPr>
      <w:r>
        <w:rPr>
          <w:sz w:val="32"/>
          <w:szCs w:val="32"/>
        </w:rPr>
        <w:t>Technological</w:t>
      </w:r>
      <w:r w:rsidR="00A47466">
        <w:rPr>
          <w:sz w:val="32"/>
          <w:szCs w:val="32"/>
        </w:rPr>
        <w:t>: A new product must fuse with advanced technology because it creates customer interest, and a swift growth for the product</w:t>
      </w:r>
      <w:r w:rsidR="00D54F49">
        <w:rPr>
          <w:sz w:val="32"/>
          <w:szCs w:val="32"/>
        </w:rPr>
        <w:t xml:space="preserve"> by harmonizing the company</w:t>
      </w:r>
      <w:r w:rsidR="00A47466">
        <w:rPr>
          <w:sz w:val="32"/>
          <w:szCs w:val="32"/>
        </w:rPr>
        <w:t xml:space="preserve"> with technology for a product to be outputted in a profitable manner</w:t>
      </w:r>
      <w:r w:rsidR="00D54F49">
        <w:rPr>
          <w:sz w:val="32"/>
          <w:szCs w:val="32"/>
        </w:rPr>
        <w:t xml:space="preserve"> (Jonathan, George 2017)</w:t>
      </w:r>
      <w:r w:rsidR="00A47466">
        <w:rPr>
          <w:sz w:val="32"/>
          <w:szCs w:val="32"/>
        </w:rPr>
        <w:t xml:space="preserve">. Technology is the way </w:t>
      </w:r>
      <w:r w:rsidR="00D54F49">
        <w:rPr>
          <w:sz w:val="32"/>
          <w:szCs w:val="32"/>
        </w:rPr>
        <w:t xml:space="preserve">we shape our products, so it’s </w:t>
      </w:r>
      <w:r w:rsidR="00A47466">
        <w:rPr>
          <w:sz w:val="32"/>
          <w:szCs w:val="32"/>
        </w:rPr>
        <w:t>vital.</w:t>
      </w:r>
    </w:p>
    <w:p w:rsidR="00A47466" w:rsidRPr="00D54F49" w:rsidRDefault="00A47466" w:rsidP="00AC6467">
      <w:pPr>
        <w:pStyle w:val="ListParagraph"/>
        <w:numPr>
          <w:ilvl w:val="0"/>
          <w:numId w:val="3"/>
        </w:numPr>
      </w:pPr>
      <w:r>
        <w:rPr>
          <w:sz w:val="32"/>
          <w:szCs w:val="32"/>
        </w:rPr>
        <w:t xml:space="preserve">Natural: </w:t>
      </w:r>
      <w:r w:rsidR="0025306F">
        <w:rPr>
          <w:sz w:val="32"/>
          <w:szCs w:val="32"/>
        </w:rPr>
        <w:t>Green Kinetic supports many of the natural environmental factors since it encourages energy sustainability. Companies that have good environmental policies tend to connect with more group</w:t>
      </w:r>
      <w:r w:rsidR="00855278">
        <w:rPr>
          <w:sz w:val="32"/>
          <w:szCs w:val="32"/>
        </w:rPr>
        <w:t xml:space="preserve">s and organizations. </w:t>
      </w:r>
      <w:r w:rsidR="00D54F49">
        <w:rPr>
          <w:sz w:val="32"/>
          <w:szCs w:val="32"/>
        </w:rPr>
        <w:t>(Dibrell, Craig, Hansen 2011)</w:t>
      </w:r>
      <w:r w:rsidR="0025306F">
        <w:rPr>
          <w:sz w:val="32"/>
          <w:szCs w:val="32"/>
        </w:rPr>
        <w:t xml:space="preserve">. Environmental policies are based on, </w:t>
      </w:r>
      <w:r w:rsidR="00EA6ABE">
        <w:rPr>
          <w:sz w:val="32"/>
          <w:szCs w:val="32"/>
        </w:rPr>
        <w:t>how the company implements environmental activities</w:t>
      </w:r>
      <w:r w:rsidR="00855278">
        <w:rPr>
          <w:sz w:val="32"/>
          <w:szCs w:val="32"/>
        </w:rPr>
        <w:t xml:space="preserve">, their uniqueness, as well as </w:t>
      </w:r>
      <w:bookmarkStart w:id="2" w:name="_GoBack"/>
      <w:bookmarkEnd w:id="2"/>
      <w:r w:rsidR="00EA6ABE">
        <w:rPr>
          <w:sz w:val="32"/>
          <w:szCs w:val="32"/>
        </w:rPr>
        <w:t xml:space="preserve">unique communication, globally. </w:t>
      </w:r>
      <w:r w:rsidR="00D54F49">
        <w:rPr>
          <w:sz w:val="32"/>
          <w:szCs w:val="32"/>
        </w:rPr>
        <w:t>(</w:t>
      </w:r>
      <w:proofErr w:type="spellStart"/>
      <w:r w:rsidR="00D54F49">
        <w:rPr>
          <w:sz w:val="32"/>
          <w:szCs w:val="32"/>
        </w:rPr>
        <w:t>Christmann</w:t>
      </w:r>
      <w:proofErr w:type="spellEnd"/>
      <w:r w:rsidR="00D54F49">
        <w:rPr>
          <w:sz w:val="32"/>
          <w:szCs w:val="32"/>
        </w:rPr>
        <w:t xml:space="preserve"> 2004).</w:t>
      </w:r>
    </w:p>
    <w:p w:rsidR="00D54F49" w:rsidRDefault="00D54F49" w:rsidP="00D54F49"/>
    <w:p w:rsidR="00D54F49" w:rsidRDefault="00D54F49" w:rsidP="00D54F49"/>
    <w:p w:rsidR="00D54F49" w:rsidRDefault="00D54F49" w:rsidP="00D54F49"/>
    <w:p w:rsidR="00D54F49" w:rsidRDefault="00D54F49" w:rsidP="00D54F49"/>
    <w:p w:rsidR="00D54F49" w:rsidRDefault="00D54F49" w:rsidP="00D54F49"/>
    <w:p w:rsidR="00D54F49" w:rsidRDefault="00D54F49" w:rsidP="00D54F49"/>
    <w:p w:rsidR="00D54F49" w:rsidRDefault="00D54F49" w:rsidP="00D54F49"/>
    <w:p w:rsidR="00D54F49" w:rsidRDefault="00D54F49" w:rsidP="00D54F49"/>
    <w:p w:rsidR="00D54F49" w:rsidRDefault="00D54F49" w:rsidP="00D54F49">
      <w:pPr>
        <w:pStyle w:val="Heading1"/>
      </w:pPr>
      <w:bookmarkStart w:id="3" w:name="_Toc479089707"/>
      <w:r>
        <w:lastRenderedPageBreak/>
        <w:t>Reference List:</w:t>
      </w:r>
      <w:bookmarkEnd w:id="3"/>
      <w:r>
        <w:t xml:space="preserve"> </w:t>
      </w:r>
    </w:p>
    <w:p w:rsidR="00D54F49" w:rsidRDefault="00D54F49" w:rsidP="00D54F49"/>
    <w:p w:rsidR="00D54F49" w:rsidRDefault="00D54F49" w:rsidP="00D54F49">
      <w:pPr>
        <w:pStyle w:val="ListParagraph"/>
        <w:numPr>
          <w:ilvl w:val="0"/>
          <w:numId w:val="5"/>
        </w:numPr>
      </w:pPr>
      <w:r>
        <w:t xml:space="preserve">Armstrong, G, Adam, S, </w:t>
      </w:r>
      <w:proofErr w:type="spellStart"/>
      <w:r>
        <w:t>Denize</w:t>
      </w:r>
      <w:proofErr w:type="spellEnd"/>
      <w:r>
        <w:t xml:space="preserve">, S, Kotler, P 2015, </w:t>
      </w:r>
      <w:r w:rsidRPr="00D54F49">
        <w:rPr>
          <w:i/>
          <w:iCs/>
        </w:rPr>
        <w:t>Principles of Marketing</w:t>
      </w:r>
      <w:r>
        <w:t>,</w:t>
      </w:r>
      <w:r w:rsidR="00BD1F93">
        <w:t xml:space="preserve"> Pearson Australia, Melbourne, VIC.</w:t>
      </w:r>
    </w:p>
    <w:p w:rsidR="00BD1F93" w:rsidRDefault="00BD1F93" w:rsidP="00BD1F93">
      <w:pPr>
        <w:pStyle w:val="ListParagraph"/>
        <w:numPr>
          <w:ilvl w:val="0"/>
          <w:numId w:val="5"/>
        </w:numPr>
      </w:pPr>
      <w:proofErr w:type="spellStart"/>
      <w:r>
        <w:t>Christmaan</w:t>
      </w:r>
      <w:proofErr w:type="spellEnd"/>
      <w:r>
        <w:t>, P 2004, ‘</w:t>
      </w:r>
      <w:bookmarkStart w:id="4" w:name="citation"/>
      <w:r w:rsidRPr="00BD1F93">
        <w:t>MULTINATIONAL COMPANI</w:t>
      </w:r>
      <w:r>
        <w:t xml:space="preserve">ES AND THE NATURAL ENVIRONMENT: </w:t>
      </w:r>
      <w:r w:rsidRPr="00BD1F93">
        <w:t>DETERMINANTS OF GLOBAL ENVIRONMENTAL POLICY STANDARDIZATION</w:t>
      </w:r>
      <w:bookmarkEnd w:id="4"/>
      <w:r>
        <w:t xml:space="preserve">’, </w:t>
      </w:r>
      <w:r>
        <w:rPr>
          <w:i/>
          <w:iCs/>
        </w:rPr>
        <w:t xml:space="preserve">Academy of Management Journal, </w:t>
      </w:r>
      <w:r>
        <w:t xml:space="preserve">vol. 47, no. 5, pp. 747-760, </w:t>
      </w:r>
      <w:r w:rsidRPr="00BD1F93">
        <w:t>10.2307/20159616</w:t>
      </w:r>
      <w:r>
        <w:t>.</w:t>
      </w:r>
    </w:p>
    <w:p w:rsidR="00BD1F93" w:rsidRDefault="00BD1F93" w:rsidP="006532CD">
      <w:pPr>
        <w:pStyle w:val="ListParagraph"/>
        <w:numPr>
          <w:ilvl w:val="0"/>
          <w:numId w:val="5"/>
        </w:numPr>
      </w:pPr>
      <w:proofErr w:type="spellStart"/>
      <w:r>
        <w:t>Dahal</w:t>
      </w:r>
      <w:proofErr w:type="spellEnd"/>
      <w:r>
        <w:t xml:space="preserve">, S, </w:t>
      </w:r>
      <w:proofErr w:type="spellStart"/>
      <w:r>
        <w:t>Nadarajah</w:t>
      </w:r>
      <w:proofErr w:type="spellEnd"/>
      <w:r>
        <w:t>, M 2016, ‘</w:t>
      </w:r>
      <w:r w:rsidRPr="00BD1F93">
        <w:t>Renewable energy development in Australia: Regulatory to technical challenges</w:t>
      </w:r>
      <w:r>
        <w:t>’</w:t>
      </w:r>
      <w:r w:rsidR="006532CD">
        <w:t>,</w:t>
      </w:r>
      <w:r w:rsidRPr="00BD1F93">
        <w:t xml:space="preserve"> Power and </w:t>
      </w:r>
      <w:r>
        <w:t>Energy</w:t>
      </w:r>
      <w:r w:rsidRPr="00BD1F93">
        <w:t> </w:t>
      </w:r>
      <w:r w:rsidR="006532CD">
        <w:t>Engineering Conference (</w:t>
      </w:r>
      <w:r w:rsidRPr="00BD1F93">
        <w:t>APPEEC</w:t>
      </w:r>
      <w:r w:rsidR="006532CD">
        <w:t xml:space="preserve">), 2-15 IEEE PES Asia- Pacific, IEEE Computer Society, Brisbane, QLD, pp. 1-5, </w:t>
      </w:r>
      <w:r w:rsidR="006532CD" w:rsidRPr="006532CD">
        <w:t>http://dx.doi.org/10.1109/APPEEC.2015.7381033</w:t>
      </w:r>
    </w:p>
    <w:p w:rsidR="006532CD" w:rsidRPr="006532CD" w:rsidRDefault="006532CD" w:rsidP="006532CD">
      <w:pPr>
        <w:pStyle w:val="ListParagraph"/>
        <w:numPr>
          <w:ilvl w:val="0"/>
          <w:numId w:val="5"/>
        </w:numPr>
        <w:rPr>
          <w:i/>
          <w:iCs/>
        </w:rPr>
      </w:pPr>
      <w:r>
        <w:t>Dibrell, C, Craig, J, Hansen, E 2011, ‘</w:t>
      </w:r>
      <w:r w:rsidRPr="006532CD">
        <w:t>Natural Environment, Market Orientation, and Firm Innovativeness: An Organi</w:t>
      </w:r>
      <w:r>
        <w:t xml:space="preserve">zational Life Cycle Perspective’, </w:t>
      </w:r>
      <w:r w:rsidRPr="006532CD">
        <w:rPr>
          <w:rFonts w:ascii="Helvetica" w:hAnsi="Helvetica" w:cs="Helvetica"/>
          <w:i/>
          <w:iCs/>
          <w:color w:val="333333"/>
        </w:rPr>
        <w:t>Journal of Small Business Management</w:t>
      </w:r>
      <w:r>
        <w:rPr>
          <w:rFonts w:ascii="Helvetica" w:hAnsi="Helvetica" w:cs="Helvetica"/>
          <w:i/>
          <w:iCs/>
          <w:color w:val="333333"/>
        </w:rPr>
        <w:t xml:space="preserve">, </w:t>
      </w:r>
      <w:r>
        <w:rPr>
          <w:rFonts w:ascii="Helvetica" w:hAnsi="Helvetica" w:cs="Helvetica"/>
          <w:color w:val="333333"/>
        </w:rPr>
        <w:t xml:space="preserve">vol. 49, no. 3, pp. 467-489, </w:t>
      </w:r>
      <w:r w:rsidRPr="006532CD">
        <w:rPr>
          <w:rFonts w:ascii="Helvetica" w:hAnsi="Helvetica" w:cs="Helvetica"/>
          <w:color w:val="333333"/>
        </w:rPr>
        <w:t>10.1111/j.1540-627X.</w:t>
      </w:r>
      <w:proofErr w:type="gramStart"/>
      <w:r w:rsidRPr="006532CD">
        <w:rPr>
          <w:rFonts w:ascii="Helvetica" w:hAnsi="Helvetica" w:cs="Helvetica"/>
          <w:color w:val="333333"/>
        </w:rPr>
        <w:t>2011.00333.x</w:t>
      </w:r>
      <w:proofErr w:type="gramEnd"/>
    </w:p>
    <w:p w:rsidR="006532CD" w:rsidRPr="00116754" w:rsidRDefault="006532CD" w:rsidP="00116754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rFonts w:ascii="Helvetica" w:hAnsi="Helvetica" w:cs="Helvetica"/>
          <w:color w:val="333333"/>
        </w:rPr>
        <w:t>Hua, Y, Oliphant, M, Hu, E 2016, ‘</w:t>
      </w:r>
      <w:r w:rsidRPr="006532CD">
        <w:rPr>
          <w:rFonts w:ascii="Helvetica" w:hAnsi="Helvetica" w:cs="Helvetica"/>
          <w:color w:val="333333"/>
        </w:rPr>
        <w:t>Development of renewable energy in Australia and China: A comparison of policies and status</w:t>
      </w:r>
      <w:r>
        <w:rPr>
          <w:rFonts w:ascii="Helvetica" w:hAnsi="Helvetica" w:cs="Helvetica"/>
          <w:color w:val="333333"/>
        </w:rPr>
        <w:t xml:space="preserve">’, </w:t>
      </w:r>
      <w:r>
        <w:rPr>
          <w:rFonts w:ascii="Helvetica" w:hAnsi="Helvetica" w:cs="Helvetica"/>
          <w:i/>
          <w:iCs/>
          <w:color w:val="333333"/>
        </w:rPr>
        <w:t xml:space="preserve">Renewable Energy, </w:t>
      </w:r>
      <w:r w:rsidR="00116754">
        <w:rPr>
          <w:rFonts w:ascii="Helvetica" w:hAnsi="Helvetica" w:cs="Helvetica"/>
          <w:color w:val="333333"/>
        </w:rPr>
        <w:t xml:space="preserve">vol. 85, pp. 1044-1051, </w:t>
      </w:r>
      <w:hyperlink r:id="rId6" w:history="1">
        <w:r w:rsidR="00116754" w:rsidRPr="00A41242">
          <w:rPr>
            <w:rStyle w:val="Hyperlink"/>
            <w:rFonts w:ascii="Helvetica" w:hAnsi="Helvetica" w:cs="Helvetica"/>
          </w:rPr>
          <w:t>http://dx.doi.org/10.1016/j.renene.2015.07.060</w:t>
        </w:r>
      </w:hyperlink>
    </w:p>
    <w:p w:rsidR="00116754" w:rsidRPr="00116754" w:rsidRDefault="00116754" w:rsidP="00116754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rFonts w:ascii="Helvetica" w:hAnsi="Helvetica" w:cs="Helvetica"/>
          <w:color w:val="333333"/>
        </w:rPr>
        <w:t>Jonathan, L, George, S 2017, ‘</w:t>
      </w:r>
      <w:r w:rsidRPr="00116754">
        <w:rPr>
          <w:rFonts w:ascii="Helvetica" w:hAnsi="Helvetica" w:cs="Helvetica"/>
          <w:color w:val="333333"/>
        </w:rPr>
        <w:t>Technology, Innovation, Entrepreneurship and The Small Business—Technology and Innovation in Small Business</w:t>
      </w:r>
      <w:r>
        <w:rPr>
          <w:rFonts w:ascii="Helvetica" w:hAnsi="Helvetica" w:cs="Helvetica"/>
          <w:color w:val="333333"/>
        </w:rPr>
        <w:t xml:space="preserve">’, </w:t>
      </w:r>
      <w:r>
        <w:rPr>
          <w:rFonts w:ascii="Helvetica" w:hAnsi="Helvetica" w:cs="Helvetica"/>
          <w:i/>
          <w:iCs/>
          <w:color w:val="333333"/>
        </w:rPr>
        <w:t xml:space="preserve">Journal of Small Business Management, </w:t>
      </w:r>
      <w:r>
        <w:rPr>
          <w:rFonts w:ascii="Helvetica" w:hAnsi="Helvetica" w:cs="Helvetica"/>
          <w:color w:val="333333"/>
        </w:rPr>
        <w:t xml:space="preserve">vol. 55, no. 2, pp. 196-199, </w:t>
      </w:r>
      <w:r w:rsidRPr="00116754">
        <w:rPr>
          <w:rFonts w:ascii="Helvetica" w:hAnsi="Helvetica" w:cs="Helvetica"/>
          <w:color w:val="333333"/>
        </w:rPr>
        <w:t>10.1111/jsbm.12311</w:t>
      </w:r>
    </w:p>
    <w:p w:rsidR="00116754" w:rsidRPr="00116754" w:rsidRDefault="00116754" w:rsidP="00116754">
      <w:pPr>
        <w:pStyle w:val="ListParagraph"/>
        <w:numPr>
          <w:ilvl w:val="0"/>
          <w:numId w:val="5"/>
        </w:numPr>
        <w:rPr>
          <w:i/>
          <w:iCs/>
        </w:rPr>
      </w:pPr>
      <w:proofErr w:type="spellStart"/>
      <w:r>
        <w:rPr>
          <w:rFonts w:ascii="Helvetica" w:hAnsi="Helvetica" w:cs="Helvetica"/>
          <w:color w:val="333333"/>
        </w:rPr>
        <w:t>Lobel</w:t>
      </w:r>
      <w:proofErr w:type="spellEnd"/>
      <w:r>
        <w:rPr>
          <w:rFonts w:ascii="Helvetica" w:hAnsi="Helvetica" w:cs="Helvetica"/>
          <w:color w:val="333333"/>
        </w:rPr>
        <w:t xml:space="preserve">, S, </w:t>
      </w:r>
      <w:proofErr w:type="spellStart"/>
      <w:r>
        <w:rPr>
          <w:rFonts w:ascii="Helvetica" w:hAnsi="Helvetica" w:cs="Helvetica"/>
          <w:color w:val="333333"/>
        </w:rPr>
        <w:t>Paulowitsch</w:t>
      </w:r>
      <w:proofErr w:type="spellEnd"/>
      <w:r>
        <w:rPr>
          <w:rFonts w:ascii="Helvetica" w:hAnsi="Helvetica" w:cs="Helvetica"/>
          <w:color w:val="333333"/>
        </w:rPr>
        <w:t xml:space="preserve">, B, </w:t>
      </w:r>
      <w:proofErr w:type="spellStart"/>
      <w:r>
        <w:rPr>
          <w:rFonts w:ascii="Helvetica" w:hAnsi="Helvetica" w:cs="Helvetica"/>
          <w:color w:val="333333"/>
        </w:rPr>
        <w:t>Schuppan</w:t>
      </w:r>
      <w:proofErr w:type="spellEnd"/>
      <w:r>
        <w:rPr>
          <w:rFonts w:ascii="Helvetica" w:hAnsi="Helvetica" w:cs="Helvetica"/>
          <w:color w:val="333333"/>
        </w:rPr>
        <w:t>, T 2016, ‘</w:t>
      </w:r>
      <w:r w:rsidRPr="00116754">
        <w:rPr>
          <w:rFonts w:ascii="Helvetica" w:hAnsi="Helvetica" w:cs="Helvetica"/>
          <w:color w:val="333333"/>
        </w:rPr>
        <w:t>Intermediaries in the public sector and the role of information technology</w:t>
      </w:r>
      <w:r>
        <w:rPr>
          <w:rFonts w:ascii="Helvetica" w:hAnsi="Helvetica" w:cs="Helvetica"/>
          <w:color w:val="333333"/>
        </w:rPr>
        <w:t xml:space="preserve">’, </w:t>
      </w:r>
      <w:r w:rsidRPr="00116754">
        <w:rPr>
          <w:rFonts w:ascii="Helvetica" w:hAnsi="Helvetica" w:cs="Helvetica"/>
          <w:i/>
          <w:iCs/>
          <w:color w:val="333333"/>
        </w:rPr>
        <w:t>Information Polity: The International Journal of Government &amp; Democracy in the Information Age</w:t>
      </w:r>
      <w:r>
        <w:rPr>
          <w:rFonts w:ascii="Helvetica" w:hAnsi="Helvetica" w:cs="Helvetica"/>
          <w:i/>
          <w:iCs/>
          <w:color w:val="333333"/>
        </w:rPr>
        <w:t xml:space="preserve">, </w:t>
      </w:r>
      <w:r>
        <w:rPr>
          <w:rFonts w:ascii="Helvetica" w:hAnsi="Helvetica" w:cs="Helvetica"/>
          <w:color w:val="333333"/>
        </w:rPr>
        <w:t>vol. 21, no. 4, pp. 335-346,</w:t>
      </w:r>
      <w:r w:rsidRPr="00116754">
        <w:t xml:space="preserve"> </w:t>
      </w:r>
      <w:r w:rsidRPr="00116754">
        <w:rPr>
          <w:rFonts w:ascii="Helvetica" w:hAnsi="Helvetica" w:cs="Helvetica"/>
          <w:color w:val="333333"/>
        </w:rPr>
        <w:t>10.3233/IP-160387</w:t>
      </w:r>
    </w:p>
    <w:p w:rsidR="00116754" w:rsidRPr="00BB678A" w:rsidRDefault="00116754" w:rsidP="00BB678A">
      <w:pPr>
        <w:pStyle w:val="ListParagraph"/>
        <w:numPr>
          <w:ilvl w:val="0"/>
          <w:numId w:val="5"/>
        </w:numPr>
        <w:rPr>
          <w:i/>
          <w:iCs/>
        </w:rPr>
      </w:pPr>
      <w:proofErr w:type="spellStart"/>
      <w:r>
        <w:rPr>
          <w:rFonts w:ascii="Helvetica" w:hAnsi="Helvetica" w:cs="Helvetica"/>
          <w:color w:val="333333"/>
        </w:rPr>
        <w:t>Woojung</w:t>
      </w:r>
      <w:proofErr w:type="spellEnd"/>
      <w:r>
        <w:rPr>
          <w:rFonts w:ascii="Helvetica" w:hAnsi="Helvetica" w:cs="Helvetica"/>
          <w:color w:val="333333"/>
        </w:rPr>
        <w:t xml:space="preserve">, C, Taylor, S 2016, </w:t>
      </w:r>
      <w:proofErr w:type="gramStart"/>
      <w:r>
        <w:rPr>
          <w:rFonts w:ascii="Helvetica" w:hAnsi="Helvetica" w:cs="Helvetica"/>
          <w:color w:val="333333"/>
        </w:rPr>
        <w:t xml:space="preserve">‘ </w:t>
      </w:r>
      <w:r w:rsidRPr="00116754">
        <w:rPr>
          <w:rFonts w:ascii="Helvetica" w:hAnsi="Helvetica" w:cs="Helvetica"/>
          <w:color w:val="333333"/>
        </w:rPr>
        <w:t>The</w:t>
      </w:r>
      <w:proofErr w:type="gramEnd"/>
      <w:r w:rsidRPr="00116754">
        <w:rPr>
          <w:rFonts w:ascii="Helvetica" w:hAnsi="Helvetica" w:cs="Helvetica"/>
          <w:color w:val="333333"/>
        </w:rPr>
        <w:t xml:space="preserve"> Effectiveness of Customer Participation in New Produ</w:t>
      </w:r>
      <w:r>
        <w:rPr>
          <w:rFonts w:ascii="Helvetica" w:hAnsi="Helvetica" w:cs="Helvetica"/>
          <w:color w:val="333333"/>
        </w:rPr>
        <w:t xml:space="preserve">ct Development: A Meta-Analysis’, </w:t>
      </w:r>
      <w:r w:rsidRPr="00116754">
        <w:rPr>
          <w:rFonts w:ascii="Helvetica" w:hAnsi="Helvetica" w:cs="Helvetica"/>
          <w:i/>
          <w:iCs/>
          <w:color w:val="333333"/>
        </w:rPr>
        <w:t>Journal of Marketing</w:t>
      </w:r>
      <w:r>
        <w:rPr>
          <w:rFonts w:ascii="Helvetica" w:hAnsi="Helvetica" w:cs="Helvetica"/>
          <w:i/>
          <w:iCs/>
          <w:color w:val="333333"/>
        </w:rPr>
        <w:t xml:space="preserve">, </w:t>
      </w:r>
      <w:r>
        <w:rPr>
          <w:rFonts w:ascii="Helvetica" w:hAnsi="Helvetica" w:cs="Helvetica"/>
          <w:color w:val="333333"/>
        </w:rPr>
        <w:t xml:space="preserve">vol. 80, no. 1, pp. 47-64, </w:t>
      </w:r>
      <w:r w:rsidR="00BB678A" w:rsidRPr="00BB678A">
        <w:rPr>
          <w:rFonts w:ascii="Helvetica" w:hAnsi="Helvetica" w:cs="Helvetica"/>
          <w:color w:val="333333"/>
        </w:rPr>
        <w:t>10.1509/jm.14.0057</w:t>
      </w:r>
    </w:p>
    <w:p w:rsidR="00BB678A" w:rsidRPr="00BB678A" w:rsidRDefault="00BB678A" w:rsidP="00BB678A">
      <w:pPr>
        <w:pStyle w:val="ListParagraph"/>
        <w:numPr>
          <w:ilvl w:val="0"/>
          <w:numId w:val="5"/>
        </w:numPr>
        <w:rPr>
          <w:i/>
          <w:iCs/>
        </w:rPr>
      </w:pPr>
      <w:proofErr w:type="spellStart"/>
      <w:r>
        <w:rPr>
          <w:rFonts w:ascii="Helvetica" w:hAnsi="Helvetica" w:cs="Helvetica"/>
          <w:color w:val="333333"/>
        </w:rPr>
        <w:t>Yiling</w:t>
      </w:r>
      <w:proofErr w:type="spellEnd"/>
      <w:r>
        <w:rPr>
          <w:rFonts w:ascii="Helvetica" w:hAnsi="Helvetica" w:cs="Helvetica"/>
          <w:color w:val="333333"/>
        </w:rPr>
        <w:t>, Z 2016, ‘</w:t>
      </w:r>
      <w:r w:rsidRPr="00BB678A">
        <w:rPr>
          <w:rFonts w:ascii="Helvetica" w:hAnsi="Helvetica" w:cs="Helvetica"/>
          <w:color w:val="333333"/>
        </w:rPr>
        <w:t>Customer Sat</w:t>
      </w:r>
      <w:r>
        <w:rPr>
          <w:rFonts w:ascii="Helvetica" w:hAnsi="Helvetica" w:cs="Helvetica"/>
          <w:color w:val="333333"/>
        </w:rPr>
        <w:t xml:space="preserve">isfaction and Equity Mispricing’, </w:t>
      </w:r>
      <w:r w:rsidRPr="00BB678A">
        <w:rPr>
          <w:rFonts w:ascii="Helvetica" w:hAnsi="Helvetica" w:cs="Helvetica"/>
          <w:i/>
          <w:iCs/>
          <w:bdr w:val="none" w:sz="0" w:space="0" w:color="auto" w:frame="1"/>
        </w:rPr>
        <w:t xml:space="preserve">Journal of </w:t>
      </w:r>
      <w:proofErr w:type="spellStart"/>
      <w:r w:rsidRPr="00BB678A">
        <w:rPr>
          <w:rFonts w:ascii="Helvetica" w:hAnsi="Helvetica" w:cs="Helvetica"/>
          <w:i/>
          <w:iCs/>
          <w:bdr w:val="none" w:sz="0" w:space="0" w:color="auto" w:frame="1"/>
        </w:rPr>
        <w:t>Accouting</w:t>
      </w:r>
      <w:proofErr w:type="spellEnd"/>
      <w:r w:rsidRPr="00BB678A">
        <w:rPr>
          <w:rFonts w:ascii="Helvetica" w:hAnsi="Helvetica" w:cs="Helvetica"/>
          <w:i/>
          <w:iCs/>
          <w:bdr w:val="none" w:sz="0" w:space="0" w:color="auto" w:frame="1"/>
        </w:rPr>
        <w:t xml:space="preserve"> &amp; </w:t>
      </w:r>
      <w:proofErr w:type="spellStart"/>
      <w:r w:rsidRPr="00BB678A">
        <w:rPr>
          <w:rFonts w:ascii="Helvetica" w:hAnsi="Helvetica" w:cs="Helvetica"/>
          <w:i/>
          <w:iCs/>
          <w:bdr w:val="none" w:sz="0" w:space="0" w:color="auto" w:frame="1"/>
        </w:rPr>
        <w:t>Fianance</w:t>
      </w:r>
      <w:proofErr w:type="spellEnd"/>
      <w:r>
        <w:rPr>
          <w:rFonts w:ascii="Helvetica" w:hAnsi="Helvetica" w:cs="Helvetica"/>
          <w:i/>
          <w:iCs/>
          <w:bdr w:val="none" w:sz="0" w:space="0" w:color="auto" w:frame="1"/>
        </w:rPr>
        <w:t xml:space="preserve"> (2158-3625</w:t>
      </w:r>
      <w:proofErr w:type="gramStart"/>
      <w:r>
        <w:rPr>
          <w:rFonts w:ascii="Helvetica" w:hAnsi="Helvetica" w:cs="Helvetica"/>
          <w:i/>
          <w:iCs/>
          <w:bdr w:val="none" w:sz="0" w:space="0" w:color="auto" w:frame="1"/>
        </w:rPr>
        <w:t>) ,</w:t>
      </w:r>
      <w:proofErr w:type="gramEnd"/>
      <w:r>
        <w:rPr>
          <w:rFonts w:ascii="Helvetica" w:hAnsi="Helvetica" w:cs="Helvetica"/>
          <w:i/>
          <w:iCs/>
          <w:bdr w:val="none" w:sz="0" w:space="0" w:color="auto" w:frame="1"/>
        </w:rPr>
        <w:t xml:space="preserve"> </w:t>
      </w:r>
      <w:r>
        <w:rPr>
          <w:rFonts w:ascii="Helvetica" w:hAnsi="Helvetica" w:cs="Helvetica"/>
          <w:bdr w:val="none" w:sz="0" w:space="0" w:color="auto" w:frame="1"/>
        </w:rPr>
        <w:t xml:space="preserve">vol. 16, no. 3, pp. 11-24. </w:t>
      </w:r>
    </w:p>
    <w:p w:rsidR="006532CD" w:rsidRDefault="006532CD" w:rsidP="006532CD"/>
    <w:p w:rsidR="006532CD" w:rsidRPr="00D54F49" w:rsidRDefault="006532CD" w:rsidP="00BD1F93">
      <w:pPr>
        <w:pStyle w:val="ListParagraph"/>
      </w:pPr>
    </w:p>
    <w:p w:rsidR="00AC6467" w:rsidRPr="00AC6467" w:rsidRDefault="00AC6467" w:rsidP="00AC6467">
      <w:pPr>
        <w:pStyle w:val="Subtitle"/>
        <w:rPr>
          <w:sz w:val="36"/>
          <w:szCs w:val="36"/>
        </w:rPr>
      </w:pPr>
    </w:p>
    <w:p w:rsidR="00AC6467" w:rsidRDefault="00AC6467" w:rsidP="00AC6467">
      <w:pPr>
        <w:pStyle w:val="ListParagraph"/>
        <w:rPr>
          <w:sz w:val="32"/>
          <w:szCs w:val="32"/>
        </w:rPr>
      </w:pPr>
    </w:p>
    <w:p w:rsidR="00AC6467" w:rsidRPr="00887023" w:rsidRDefault="00AC6467" w:rsidP="00AC6467">
      <w:pPr>
        <w:pStyle w:val="ListParagraph"/>
      </w:pPr>
    </w:p>
    <w:p w:rsidR="00303C52" w:rsidRDefault="00303C52" w:rsidP="00303C52"/>
    <w:p w:rsidR="00303C52" w:rsidRPr="00303C52" w:rsidRDefault="00303C52" w:rsidP="00303C52"/>
    <w:p w:rsidR="0065361E" w:rsidRDefault="0065361E" w:rsidP="00EC739F">
      <w:pPr>
        <w:spacing w:line="360" w:lineRule="auto"/>
        <w:rPr>
          <w:sz w:val="32"/>
          <w:szCs w:val="32"/>
        </w:rPr>
      </w:pPr>
    </w:p>
    <w:p w:rsidR="0065361E" w:rsidRPr="00303C52" w:rsidRDefault="0065361E" w:rsidP="00303C52">
      <w:pPr>
        <w:pStyle w:val="Heading2"/>
        <w:rPr>
          <w:sz w:val="40"/>
          <w:szCs w:val="40"/>
        </w:rPr>
      </w:pPr>
    </w:p>
    <w:p w:rsidR="0065361E" w:rsidRDefault="0065361E" w:rsidP="00EC739F">
      <w:pPr>
        <w:spacing w:line="360" w:lineRule="auto"/>
        <w:rPr>
          <w:sz w:val="32"/>
          <w:szCs w:val="32"/>
        </w:rPr>
      </w:pPr>
    </w:p>
    <w:p w:rsidR="0065361E" w:rsidRDefault="0065361E" w:rsidP="00EC739F">
      <w:pPr>
        <w:spacing w:line="360" w:lineRule="auto"/>
        <w:rPr>
          <w:sz w:val="32"/>
          <w:szCs w:val="32"/>
        </w:rPr>
      </w:pPr>
    </w:p>
    <w:p w:rsidR="000372C8" w:rsidRDefault="000372C8" w:rsidP="00EC739F">
      <w:pPr>
        <w:spacing w:line="360" w:lineRule="auto"/>
        <w:rPr>
          <w:sz w:val="32"/>
          <w:szCs w:val="32"/>
        </w:rPr>
      </w:pPr>
    </w:p>
    <w:p w:rsidR="000372C8" w:rsidRPr="005D3EE3" w:rsidRDefault="000372C8" w:rsidP="000372C8">
      <w:pPr>
        <w:pStyle w:val="Heading1"/>
      </w:pPr>
    </w:p>
    <w:p w:rsidR="00667350" w:rsidRPr="000372C8" w:rsidRDefault="00667350" w:rsidP="000372C8">
      <w:pPr>
        <w:pStyle w:val="Heading1"/>
        <w:rPr>
          <w:sz w:val="44"/>
          <w:szCs w:val="44"/>
        </w:rPr>
      </w:pPr>
    </w:p>
    <w:p w:rsidR="00667350" w:rsidRPr="00667350" w:rsidRDefault="00667350" w:rsidP="00667350">
      <w:pPr>
        <w:pStyle w:val="Heading1"/>
      </w:pPr>
    </w:p>
    <w:sectPr w:rsidR="00667350" w:rsidRPr="00667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AD0"/>
    <w:multiLevelType w:val="hybridMultilevel"/>
    <w:tmpl w:val="179631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649E9"/>
    <w:multiLevelType w:val="hybridMultilevel"/>
    <w:tmpl w:val="763432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925EA"/>
    <w:multiLevelType w:val="hybridMultilevel"/>
    <w:tmpl w:val="6A40AB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49F7"/>
    <w:multiLevelType w:val="hybridMultilevel"/>
    <w:tmpl w:val="AE9624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B48C5"/>
    <w:multiLevelType w:val="hybridMultilevel"/>
    <w:tmpl w:val="C0E80E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50"/>
    <w:rsid w:val="000372C8"/>
    <w:rsid w:val="00052CF3"/>
    <w:rsid w:val="001041B7"/>
    <w:rsid w:val="00116754"/>
    <w:rsid w:val="001F34C0"/>
    <w:rsid w:val="002378CE"/>
    <w:rsid w:val="0025306F"/>
    <w:rsid w:val="00303C52"/>
    <w:rsid w:val="00306350"/>
    <w:rsid w:val="003652C1"/>
    <w:rsid w:val="004D4810"/>
    <w:rsid w:val="005D3EE3"/>
    <w:rsid w:val="006532CD"/>
    <w:rsid w:val="0065361E"/>
    <w:rsid w:val="00667350"/>
    <w:rsid w:val="00685326"/>
    <w:rsid w:val="006C2E6E"/>
    <w:rsid w:val="00700DC5"/>
    <w:rsid w:val="00855278"/>
    <w:rsid w:val="00887023"/>
    <w:rsid w:val="0092171E"/>
    <w:rsid w:val="009C5E0D"/>
    <w:rsid w:val="00A3707D"/>
    <w:rsid w:val="00A47466"/>
    <w:rsid w:val="00AC6467"/>
    <w:rsid w:val="00BB678A"/>
    <w:rsid w:val="00BD1F93"/>
    <w:rsid w:val="00C3643D"/>
    <w:rsid w:val="00D02404"/>
    <w:rsid w:val="00D216DE"/>
    <w:rsid w:val="00D54F49"/>
    <w:rsid w:val="00DC0FF8"/>
    <w:rsid w:val="00E63B73"/>
    <w:rsid w:val="00E93807"/>
    <w:rsid w:val="00EA6ABE"/>
    <w:rsid w:val="00E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6D4F"/>
  <w15:chartTrackingRefBased/>
  <w15:docId w15:val="{3C652124-9162-4092-B5D4-2E67356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7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7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702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87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2CD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B678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B67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dx.doi.org/10.1016/j.renene.2015.07.060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A5AB0-45D3-4ED5-AAFB-8CAADEBF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941</Words>
  <Characters>5364</Characters>
  <Application/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