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13" w:rsidRDefault="00306313" w:rsidP="00A769D6">
      <w:pPr>
        <w:spacing w:after="0"/>
        <w:jc w:val="center"/>
        <w:rPr>
          <w:szCs w:val="24"/>
        </w:rPr>
      </w:pPr>
      <w:bookmarkStart w:id="0" w:name="_GoBack"/>
      <w:bookmarkEnd w:id="0"/>
    </w:p>
    <w:p w:rsidR="00306313" w:rsidRDefault="00306313" w:rsidP="00A769D6">
      <w:pPr>
        <w:spacing w:after="0"/>
        <w:jc w:val="center"/>
        <w:rPr>
          <w:szCs w:val="24"/>
        </w:rPr>
      </w:pPr>
    </w:p>
    <w:p w:rsidR="00306313" w:rsidRDefault="00306313" w:rsidP="00A769D6">
      <w:pPr>
        <w:spacing w:after="0"/>
        <w:jc w:val="center"/>
        <w:rPr>
          <w:szCs w:val="24"/>
        </w:rPr>
      </w:pPr>
    </w:p>
    <w:p w:rsidR="00306313" w:rsidRDefault="00306313" w:rsidP="00A769D6">
      <w:pPr>
        <w:spacing w:after="0"/>
        <w:jc w:val="center"/>
        <w:rPr>
          <w:szCs w:val="24"/>
        </w:rPr>
      </w:pPr>
    </w:p>
    <w:p w:rsidR="00306313" w:rsidRDefault="00306313" w:rsidP="00A769D6">
      <w:pPr>
        <w:spacing w:after="0"/>
        <w:jc w:val="center"/>
        <w:rPr>
          <w:szCs w:val="24"/>
        </w:rPr>
      </w:pPr>
    </w:p>
    <w:p w:rsidR="00306313" w:rsidRDefault="00306313" w:rsidP="00A769D6">
      <w:pPr>
        <w:spacing w:after="0"/>
        <w:jc w:val="center"/>
        <w:rPr>
          <w:szCs w:val="24"/>
        </w:rPr>
      </w:pPr>
    </w:p>
    <w:p w:rsidR="00306313" w:rsidRDefault="00190C28" w:rsidP="00A769D6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Valuation of Financial Instruments</w:t>
      </w:r>
    </w:p>
    <w:p w:rsidR="00306313" w:rsidRDefault="00461FD5" w:rsidP="00A769D6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Candiss Brown</w:t>
      </w:r>
    </w:p>
    <w:p w:rsidR="00306313" w:rsidRDefault="00461FD5" w:rsidP="00306313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Unit 3 IP</w:t>
      </w:r>
    </w:p>
    <w:p w:rsidR="00306313" w:rsidRPr="00306313" w:rsidRDefault="00461FD5" w:rsidP="00306313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January 25, 2017</w:t>
      </w:r>
    </w:p>
    <w:p w:rsidR="00306313" w:rsidRDefault="00306313">
      <w:pPr>
        <w:spacing w:line="259" w:lineRule="auto"/>
        <w:rPr>
          <w:szCs w:val="24"/>
        </w:rPr>
      </w:pPr>
      <w:r>
        <w:rPr>
          <w:szCs w:val="24"/>
        </w:rPr>
        <w:br w:type="page"/>
      </w:r>
    </w:p>
    <w:p w:rsidR="00D2752F" w:rsidRDefault="00EA78D0" w:rsidP="00A769D6">
      <w:pPr>
        <w:spacing w:after="0"/>
        <w:jc w:val="center"/>
      </w:pPr>
      <w:r>
        <w:rPr>
          <w:szCs w:val="24"/>
        </w:rPr>
        <w:lastRenderedPageBreak/>
        <w:t xml:space="preserve">Valuation </w:t>
      </w:r>
      <w:r w:rsidR="00306313">
        <w:rPr>
          <w:szCs w:val="24"/>
        </w:rPr>
        <w:t>of Financial Instruments</w:t>
      </w:r>
    </w:p>
    <w:tbl>
      <w:tblPr>
        <w:tblW w:w="10460" w:type="dxa"/>
        <w:jc w:val="center"/>
        <w:tblLook w:val="04A0" w:firstRow="1" w:lastRow="0" w:firstColumn="1" w:lastColumn="0" w:noHBand="0" w:noVBand="1"/>
      </w:tblPr>
      <w:tblGrid>
        <w:gridCol w:w="895"/>
        <w:gridCol w:w="1710"/>
        <w:gridCol w:w="1072"/>
        <w:gridCol w:w="1030"/>
        <w:gridCol w:w="1123"/>
        <w:gridCol w:w="1150"/>
        <w:gridCol w:w="1164"/>
        <w:gridCol w:w="1080"/>
        <w:gridCol w:w="1236"/>
      </w:tblGrid>
      <w:tr w:rsidR="006919DC" w:rsidRPr="006919DC" w:rsidTr="006919DC">
        <w:trPr>
          <w:trHeight w:val="57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Bond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Company/</w:t>
            </w:r>
            <w:r w:rsidRPr="006919DC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Pr="00AA2C77">
              <w:rPr>
                <w:rFonts w:eastAsia="Times New Roman" w:cs="Times New Roman"/>
                <w:b/>
                <w:color w:val="000000"/>
              </w:rPr>
              <w:t>Rating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Face Value (FV)</w:t>
            </w:r>
            <w:r w:rsidR="006919DC" w:rsidRPr="006919DC">
              <w:rPr>
                <w:rFonts w:eastAsia="Times New Roman" w:cs="Times New Roman"/>
                <w:b/>
                <w:color w:val="000000"/>
              </w:rPr>
              <w:t xml:space="preserve"> ($)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Coupon Rate (%)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Annual Payment (PMT)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Time-to Maturity (NPER)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Yield-to-Maturity (RATE)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Market Value (Quote)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</w:rPr>
            </w:pPr>
            <w:r w:rsidRPr="00AA2C77">
              <w:rPr>
                <w:rFonts w:eastAsia="Times New Roman" w:cs="Times New Roman"/>
                <w:b/>
                <w:color w:val="000000"/>
              </w:rPr>
              <w:t>Discount, Premium, Par</w:t>
            </w:r>
          </w:p>
        </w:tc>
      </w:tr>
      <w:tr w:rsidR="00190C28" w:rsidRPr="00AA2C77" w:rsidTr="006919DC">
        <w:trPr>
          <w:trHeight w:val="343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A-Rated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w:t>Goldman Sachs Group</w:t>
            </w:r>
            <w:r w:rsidRPr="00AA2C77">
              <w:rPr>
                <w:rFonts w:eastAsia="Times New Roman" w:cs="Times New Roman"/>
                <w:noProof/>
                <w:color w:val="000000"/>
              </w:rPr>
              <w:t>/ A rating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0.05</w:t>
            </w:r>
            <w:r w:rsidR="006919DC">
              <w:rPr>
                <w:rFonts w:eastAsia="Times New Roman" w:cs="Times New Roman"/>
                <w:color w:val="000000"/>
              </w:rPr>
              <w:t>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50</w:t>
            </w:r>
            <w:r>
              <w:rPr>
                <w:rFonts w:eastAsia="Times New Roman" w:cs="Times New Roman"/>
                <w:color w:val="000000"/>
              </w:rPr>
              <w:t>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0.0386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1097.5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Premium</w:t>
            </w:r>
          </w:p>
        </w:tc>
      </w:tr>
      <w:tr w:rsidR="00190C28" w:rsidRPr="00AA2C77" w:rsidTr="006919DC">
        <w:trPr>
          <w:trHeight w:val="37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B-Rated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Northwestern Bell Tel</w:t>
            </w:r>
            <w:r>
              <w:rPr>
                <w:rFonts w:eastAsia="Times New Roman" w:cs="Times New Roman"/>
                <w:color w:val="000000"/>
              </w:rPr>
              <w:t>ephone</w:t>
            </w:r>
            <w:r w:rsidRPr="00AA2C77">
              <w:rPr>
                <w:rFonts w:eastAsia="Times New Roman" w:cs="Times New Roman"/>
                <w:color w:val="000000"/>
              </w:rPr>
              <w:t xml:space="preserve"> Co</w:t>
            </w:r>
            <w:r>
              <w:rPr>
                <w:rFonts w:eastAsia="Times New Roman" w:cs="Times New Roman"/>
                <w:color w:val="000000"/>
              </w:rPr>
              <w:t>mpany</w:t>
            </w:r>
            <w:r w:rsidRPr="00AA2C77">
              <w:rPr>
                <w:rFonts w:eastAsia="Times New Roman" w:cs="Times New Roman"/>
                <w:color w:val="000000"/>
              </w:rPr>
              <w:t>/ BBB rating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0.0775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77.5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0.0498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1295</w:t>
            </w:r>
            <w:r>
              <w:rPr>
                <w:rFonts w:eastAsia="Times New Roman" w:cs="Times New Roman"/>
                <w:color w:val="000000"/>
              </w:rPr>
              <w:t>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Premium</w:t>
            </w:r>
          </w:p>
        </w:tc>
      </w:tr>
      <w:tr w:rsidR="00190C28" w:rsidRPr="00AA2C77" w:rsidTr="006919DC">
        <w:trPr>
          <w:trHeight w:val="384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C-Rated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Petroleos De Venezuela SA/ CCC rating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1000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0.0975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97.5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0.1917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>520</w:t>
            </w:r>
            <w:r>
              <w:rPr>
                <w:rFonts w:eastAsia="Times New Roman" w:cs="Times New Roman"/>
                <w:color w:val="000000"/>
              </w:rPr>
              <w:t>.0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C28" w:rsidRPr="00AA2C77" w:rsidRDefault="00190C28" w:rsidP="009E63B7">
            <w:pPr>
              <w:spacing w:line="240" w:lineRule="auto"/>
              <w:jc w:val="left"/>
              <w:rPr>
                <w:rFonts w:eastAsia="Times New Roman" w:cs="Times New Roman"/>
                <w:color w:val="000000"/>
              </w:rPr>
            </w:pPr>
            <w:r w:rsidRPr="00AA2C77">
              <w:rPr>
                <w:rFonts w:eastAsia="Times New Roman" w:cs="Times New Roman"/>
                <w:color w:val="000000"/>
              </w:rPr>
              <w:t xml:space="preserve">Discount </w:t>
            </w:r>
          </w:p>
        </w:tc>
      </w:tr>
    </w:tbl>
    <w:p w:rsidR="00AA2709" w:rsidRDefault="00D2752F" w:rsidP="00D2752F">
      <w:pPr>
        <w:spacing w:after="0"/>
        <w:rPr>
          <w:rFonts w:eastAsia="Times New Roman" w:cs="Times New Roman"/>
          <w:szCs w:val="24"/>
        </w:rPr>
      </w:pPr>
      <w:r w:rsidRPr="00625225">
        <w:rPr>
          <w:rFonts w:eastAsia="Times New Roman" w:cs="Times New Roman"/>
          <w:szCs w:val="24"/>
        </w:rPr>
        <w:tab/>
      </w:r>
    </w:p>
    <w:p w:rsidR="00D2752F" w:rsidRPr="00625225" w:rsidRDefault="00D2752F" w:rsidP="00C700C5">
      <w:pPr>
        <w:spacing w:after="0"/>
        <w:ind w:firstLine="720"/>
        <w:rPr>
          <w:rFonts w:eastAsia="Times New Roman" w:cs="Times New Roman"/>
          <w:szCs w:val="24"/>
        </w:rPr>
      </w:pPr>
      <w:r w:rsidRPr="00625225">
        <w:rPr>
          <w:rFonts w:eastAsia="Times New Roman" w:cs="Times New Roman"/>
          <w:szCs w:val="24"/>
        </w:rPr>
        <w:t xml:space="preserve">Bond rating </w:t>
      </w:r>
      <w:r w:rsidR="00811401">
        <w:rPr>
          <w:rFonts w:eastAsia="Times New Roman" w:cs="Times New Roman"/>
          <w:szCs w:val="24"/>
        </w:rPr>
        <w:t xml:space="preserve">refers to the appraisal done by an organization that </w:t>
      </w:r>
      <w:r w:rsidR="00811401" w:rsidRPr="00F052B5">
        <w:rPr>
          <w:rFonts w:eastAsia="Times New Roman" w:cs="Times New Roman"/>
          <w:noProof/>
          <w:szCs w:val="24"/>
        </w:rPr>
        <w:t>is recognized</w:t>
      </w:r>
      <w:r w:rsidR="00811401">
        <w:rPr>
          <w:rFonts w:eastAsia="Times New Roman" w:cs="Times New Roman"/>
          <w:szCs w:val="24"/>
        </w:rPr>
        <w:t xml:space="preserve"> in the financial sector with</w:t>
      </w:r>
      <w:r w:rsidR="00F052B5">
        <w:rPr>
          <w:rFonts w:eastAsia="Times New Roman" w:cs="Times New Roman"/>
          <w:szCs w:val="24"/>
        </w:rPr>
        <w:t xml:space="preserve"> a</w:t>
      </w:r>
      <w:r w:rsidR="00811401">
        <w:rPr>
          <w:rFonts w:eastAsia="Times New Roman" w:cs="Times New Roman"/>
          <w:szCs w:val="24"/>
        </w:rPr>
        <w:t xml:space="preserve"> </w:t>
      </w:r>
      <w:r w:rsidR="00811401" w:rsidRPr="00F052B5">
        <w:rPr>
          <w:rFonts w:eastAsia="Times New Roman" w:cs="Times New Roman"/>
          <w:noProof/>
          <w:szCs w:val="24"/>
        </w:rPr>
        <w:t>sound</w:t>
      </w:r>
      <w:r w:rsidR="00811401">
        <w:rPr>
          <w:rFonts w:eastAsia="Times New Roman" w:cs="Times New Roman"/>
          <w:szCs w:val="24"/>
        </w:rPr>
        <w:t xml:space="preserve"> understanding of the </w:t>
      </w:r>
      <w:r w:rsidR="004C66CE">
        <w:rPr>
          <w:rFonts w:eastAsia="Times New Roman" w:cs="Times New Roman"/>
          <w:szCs w:val="24"/>
        </w:rPr>
        <w:t xml:space="preserve">aspect of investments in </w:t>
      </w:r>
      <w:r w:rsidR="004C66CE" w:rsidRPr="00F052B5">
        <w:rPr>
          <w:rFonts w:eastAsia="Times New Roman" w:cs="Times New Roman"/>
          <w:noProof/>
          <w:szCs w:val="24"/>
        </w:rPr>
        <w:t>bonds</w:t>
      </w:r>
      <w:r w:rsidRPr="00F052B5">
        <w:rPr>
          <w:rFonts w:eastAsia="Times New Roman" w:cs="Times New Roman"/>
          <w:noProof/>
          <w:szCs w:val="24"/>
        </w:rPr>
        <w:t>.</w:t>
      </w:r>
      <w:r w:rsidRPr="00625225">
        <w:rPr>
          <w:rFonts w:eastAsia="Times New Roman" w:cs="Times New Roman"/>
          <w:szCs w:val="24"/>
        </w:rPr>
        <w:t xml:space="preserve"> Yield to </w:t>
      </w:r>
      <w:r w:rsidR="000D762D" w:rsidRPr="00F052B5">
        <w:rPr>
          <w:rFonts w:eastAsia="Times New Roman" w:cs="Times New Roman"/>
          <w:noProof/>
          <w:szCs w:val="24"/>
        </w:rPr>
        <w:t>maturity</w:t>
      </w:r>
      <w:r w:rsidR="00F052B5">
        <w:rPr>
          <w:rFonts w:eastAsia="Times New Roman" w:cs="Times New Roman"/>
          <w:noProof/>
          <w:szCs w:val="24"/>
        </w:rPr>
        <w:t>, on the other hand,</w:t>
      </w:r>
      <w:r w:rsidR="004C66CE">
        <w:rPr>
          <w:rFonts w:eastAsia="Times New Roman" w:cs="Times New Roman"/>
          <w:szCs w:val="24"/>
        </w:rPr>
        <w:t xml:space="preserve"> refers to the bond’s ma</w:t>
      </w:r>
      <w:r w:rsidR="000D762D">
        <w:rPr>
          <w:rFonts w:eastAsia="Times New Roman" w:cs="Times New Roman"/>
          <w:szCs w:val="24"/>
        </w:rPr>
        <w:t>turity internal rate of return</w:t>
      </w:r>
      <w:r w:rsidRPr="00625225">
        <w:rPr>
          <w:rFonts w:eastAsia="Times New Roman" w:cs="Times New Roman"/>
          <w:szCs w:val="24"/>
        </w:rPr>
        <w:t xml:space="preserve">. The correlation </w:t>
      </w:r>
      <w:r w:rsidR="00FB4B30">
        <w:rPr>
          <w:rFonts w:eastAsia="Times New Roman" w:cs="Times New Roman"/>
          <w:szCs w:val="24"/>
        </w:rPr>
        <w:t>existing between</w:t>
      </w:r>
      <w:r w:rsidR="004B1054">
        <w:rPr>
          <w:rFonts w:eastAsia="Times New Roman" w:cs="Times New Roman"/>
          <w:szCs w:val="24"/>
        </w:rPr>
        <w:t xml:space="preserve"> yield maturity and bond rating is that higher yield maturities have lower bond ratings and the other way </w:t>
      </w:r>
      <w:r w:rsidR="00461FD5">
        <w:rPr>
          <w:rFonts w:eastAsia="Times New Roman" w:cs="Times New Roman"/>
          <w:szCs w:val="24"/>
        </w:rPr>
        <w:t>around</w:t>
      </w:r>
      <w:sdt>
        <w:sdtPr>
          <w:rPr>
            <w:rFonts w:eastAsia="Times New Roman" w:cs="Times New Roman"/>
            <w:szCs w:val="24"/>
          </w:rPr>
          <w:id w:val="1909414558"/>
          <w:citation/>
        </w:sdtPr>
        <w:sdtEndPr/>
        <w:sdtContent>
          <w:r w:rsidR="00FE44D3">
            <w:rPr>
              <w:rFonts w:eastAsia="Times New Roman" w:cs="Times New Roman"/>
              <w:szCs w:val="24"/>
            </w:rPr>
            <w:fldChar w:fldCharType="begin"/>
          </w:r>
          <w:r w:rsidR="00FE44D3">
            <w:rPr>
              <w:rFonts w:eastAsia="Times New Roman" w:cs="Times New Roman"/>
              <w:szCs w:val="24"/>
            </w:rPr>
            <w:instrText xml:space="preserve"> CITATION Hig12 \l 1033 </w:instrText>
          </w:r>
          <w:r w:rsidR="00FE44D3">
            <w:rPr>
              <w:rFonts w:eastAsia="Times New Roman" w:cs="Times New Roman"/>
              <w:szCs w:val="24"/>
            </w:rPr>
            <w:fldChar w:fldCharType="separate"/>
          </w:r>
          <w:r w:rsidR="00FE44D3">
            <w:rPr>
              <w:rFonts w:eastAsia="Times New Roman" w:cs="Times New Roman"/>
              <w:noProof/>
              <w:szCs w:val="24"/>
            </w:rPr>
            <w:t xml:space="preserve"> </w:t>
          </w:r>
          <w:r w:rsidR="00FE44D3" w:rsidRPr="00FE44D3">
            <w:rPr>
              <w:rFonts w:eastAsia="Times New Roman" w:cs="Times New Roman"/>
              <w:noProof/>
              <w:szCs w:val="24"/>
            </w:rPr>
            <w:t>(Higgins, 2012)</w:t>
          </w:r>
          <w:r w:rsidR="00FE44D3">
            <w:rPr>
              <w:rFonts w:eastAsia="Times New Roman" w:cs="Times New Roman"/>
              <w:szCs w:val="24"/>
            </w:rPr>
            <w:fldChar w:fldCharType="end"/>
          </w:r>
        </w:sdtContent>
      </w:sdt>
      <w:r w:rsidR="004B1054">
        <w:rPr>
          <w:rFonts w:eastAsia="Times New Roman" w:cs="Times New Roman"/>
          <w:szCs w:val="24"/>
        </w:rPr>
        <w:t xml:space="preserve">. </w:t>
      </w:r>
      <w:r w:rsidR="0095625E">
        <w:rPr>
          <w:rFonts w:eastAsia="Times New Roman" w:cs="Times New Roman"/>
          <w:szCs w:val="24"/>
        </w:rPr>
        <w:t xml:space="preserve">For </w:t>
      </w:r>
      <w:r w:rsidR="00D10A2B">
        <w:rPr>
          <w:rFonts w:eastAsia="Times New Roman" w:cs="Times New Roman"/>
          <w:szCs w:val="24"/>
        </w:rPr>
        <w:t>instance, above</w:t>
      </w:r>
      <w:r w:rsidR="002A3F44">
        <w:rPr>
          <w:rFonts w:eastAsia="Times New Roman" w:cs="Times New Roman"/>
          <w:szCs w:val="24"/>
        </w:rPr>
        <w:t xml:space="preserve"> Goldman Sachs GRP has 3.86% YTM with A </w:t>
      </w:r>
      <w:r w:rsidRPr="00625225">
        <w:rPr>
          <w:rFonts w:eastAsia="Times New Roman" w:cs="Times New Roman"/>
          <w:szCs w:val="24"/>
        </w:rPr>
        <w:t xml:space="preserve">bond rating </w:t>
      </w:r>
      <w:r w:rsidR="002A3F44">
        <w:rPr>
          <w:rFonts w:eastAsia="Times New Roman" w:cs="Times New Roman"/>
          <w:szCs w:val="24"/>
        </w:rPr>
        <w:t>while</w:t>
      </w:r>
      <w:r w:rsidRPr="00625225">
        <w:rPr>
          <w:rFonts w:eastAsia="Times New Roman" w:cs="Times New Roman"/>
          <w:szCs w:val="24"/>
        </w:rPr>
        <w:t xml:space="preserve"> Petroleos De Venezuela has </w:t>
      </w:r>
      <w:r w:rsidR="00D9346E">
        <w:rPr>
          <w:rFonts w:eastAsia="Times New Roman" w:cs="Times New Roman"/>
          <w:szCs w:val="24"/>
        </w:rPr>
        <w:t xml:space="preserve">19.17% </w:t>
      </w:r>
      <w:r w:rsidR="00E32D0B">
        <w:rPr>
          <w:rFonts w:eastAsia="Times New Roman" w:cs="Times New Roman"/>
          <w:szCs w:val="24"/>
        </w:rPr>
        <w:t xml:space="preserve">YTM </w:t>
      </w:r>
      <w:r w:rsidR="00A8776D">
        <w:rPr>
          <w:rFonts w:eastAsia="Times New Roman" w:cs="Times New Roman"/>
          <w:szCs w:val="24"/>
        </w:rPr>
        <w:t>and CCC</w:t>
      </w:r>
      <w:r w:rsidRPr="00625225">
        <w:rPr>
          <w:rFonts w:eastAsia="Times New Roman" w:cs="Times New Roman"/>
          <w:szCs w:val="24"/>
        </w:rPr>
        <w:t xml:space="preserve"> bond rating </w:t>
      </w:r>
      <w:r w:rsidR="00A8776D">
        <w:rPr>
          <w:rFonts w:eastAsia="Times New Roman" w:cs="Times New Roman"/>
          <w:szCs w:val="24"/>
        </w:rPr>
        <w:t>and thi</w:t>
      </w:r>
      <w:r w:rsidR="00366978">
        <w:rPr>
          <w:rFonts w:eastAsia="Times New Roman" w:cs="Times New Roman"/>
          <w:szCs w:val="24"/>
        </w:rPr>
        <w:t>s shows the correlation</w:t>
      </w:r>
      <w:r w:rsidR="00262B36">
        <w:rPr>
          <w:rFonts w:eastAsia="Times New Roman" w:cs="Times New Roman"/>
          <w:szCs w:val="24"/>
        </w:rPr>
        <w:t xml:space="preserve"> between the two</w:t>
      </w:r>
      <w:r w:rsidR="00366978">
        <w:rPr>
          <w:rFonts w:eastAsia="Times New Roman" w:cs="Times New Roman"/>
          <w:szCs w:val="24"/>
        </w:rPr>
        <w:t xml:space="preserve"> clearly</w:t>
      </w:r>
      <w:r w:rsidRPr="00625225">
        <w:rPr>
          <w:rFonts w:eastAsia="Times New Roman" w:cs="Times New Roman"/>
          <w:szCs w:val="24"/>
        </w:rPr>
        <w:t>.</w:t>
      </w:r>
    </w:p>
    <w:p w:rsidR="00D2752F" w:rsidRPr="006919DC" w:rsidRDefault="00D2752F" w:rsidP="006919DC">
      <w:pPr>
        <w:rPr>
          <w:b/>
        </w:rPr>
      </w:pPr>
      <w:r w:rsidRPr="006919DC">
        <w:rPr>
          <w:b/>
        </w:rPr>
        <w:t xml:space="preserve">Bond </w:t>
      </w:r>
      <w:r w:rsidR="006919DC" w:rsidRPr="006919DC">
        <w:rPr>
          <w:b/>
        </w:rPr>
        <w:t>Trade</w:t>
      </w:r>
    </w:p>
    <w:p w:rsidR="00D2752F" w:rsidRPr="00625225" w:rsidRDefault="00D2752F" w:rsidP="00D2752F">
      <w:pPr>
        <w:spacing w:after="0"/>
        <w:rPr>
          <w:rFonts w:eastAsia="Times New Roman" w:cs="Times New Roman"/>
          <w:szCs w:val="24"/>
        </w:rPr>
      </w:pPr>
      <w:r w:rsidRPr="00625225">
        <w:rPr>
          <w:rFonts w:eastAsia="Times New Roman" w:cs="Times New Roman"/>
          <w:szCs w:val="24"/>
        </w:rPr>
        <w:tab/>
        <w:t xml:space="preserve">The coupon rate </w:t>
      </w:r>
      <w:r w:rsidRPr="00F052B5">
        <w:rPr>
          <w:rFonts w:eastAsia="Times New Roman" w:cs="Times New Roman"/>
          <w:noProof/>
          <w:szCs w:val="24"/>
        </w:rPr>
        <w:t>is</w:t>
      </w:r>
      <w:r w:rsidR="00E976B8" w:rsidRPr="00F052B5">
        <w:rPr>
          <w:rFonts w:eastAsia="Times New Roman" w:cs="Times New Roman"/>
          <w:noProof/>
          <w:szCs w:val="24"/>
        </w:rPr>
        <w:t xml:space="preserve"> defined</w:t>
      </w:r>
      <w:r w:rsidR="00E976B8">
        <w:rPr>
          <w:rFonts w:eastAsia="Times New Roman" w:cs="Times New Roman"/>
          <w:szCs w:val="24"/>
        </w:rPr>
        <w:t xml:space="preserve"> as the specified rate of interest on the interest earned from the </w:t>
      </w:r>
      <w:r w:rsidR="00E976B8" w:rsidRPr="00F052B5">
        <w:rPr>
          <w:rFonts w:eastAsia="Times New Roman" w:cs="Times New Roman"/>
          <w:noProof/>
          <w:szCs w:val="24"/>
        </w:rPr>
        <w:t>coupon</w:t>
      </w:r>
      <w:r w:rsidR="00E976B8">
        <w:rPr>
          <w:rFonts w:eastAsia="Times New Roman" w:cs="Times New Roman"/>
          <w:szCs w:val="24"/>
        </w:rPr>
        <w:t xml:space="preserve"> that </w:t>
      </w:r>
      <w:r w:rsidR="00E976B8" w:rsidRPr="00F052B5">
        <w:rPr>
          <w:rFonts w:eastAsia="Times New Roman" w:cs="Times New Roman"/>
          <w:noProof/>
          <w:szCs w:val="24"/>
        </w:rPr>
        <w:t>are</w:t>
      </w:r>
      <w:r w:rsidR="00E976B8">
        <w:rPr>
          <w:rFonts w:eastAsia="Times New Roman" w:cs="Times New Roman"/>
          <w:szCs w:val="24"/>
        </w:rPr>
        <w:t xml:space="preserve"> attached to the bonds</w:t>
      </w:r>
      <w:r w:rsidRPr="00625225">
        <w:rPr>
          <w:rFonts w:eastAsia="Times New Roman" w:cs="Times New Roman"/>
          <w:szCs w:val="24"/>
        </w:rPr>
        <w:t xml:space="preserve">. </w:t>
      </w:r>
      <w:r w:rsidR="00A06297">
        <w:rPr>
          <w:rFonts w:eastAsia="Times New Roman" w:cs="Times New Roman"/>
          <w:szCs w:val="24"/>
        </w:rPr>
        <w:t xml:space="preserve">The yearly interest that is received is equal to the product of the rate of the </w:t>
      </w:r>
      <w:r w:rsidR="00A06297" w:rsidRPr="00F052B5">
        <w:rPr>
          <w:rFonts w:eastAsia="Times New Roman" w:cs="Times New Roman"/>
          <w:noProof/>
          <w:szCs w:val="24"/>
        </w:rPr>
        <w:t>coupon</w:t>
      </w:r>
      <w:r w:rsidR="00A06297">
        <w:rPr>
          <w:rFonts w:eastAsia="Times New Roman" w:cs="Times New Roman"/>
          <w:szCs w:val="24"/>
        </w:rPr>
        <w:t xml:space="preserve"> and the bond’</w:t>
      </w:r>
      <w:r w:rsidR="004B42B5">
        <w:rPr>
          <w:rFonts w:eastAsia="Times New Roman" w:cs="Times New Roman"/>
          <w:szCs w:val="24"/>
        </w:rPr>
        <w:t>s par value</w:t>
      </w:r>
      <w:sdt>
        <w:sdtPr>
          <w:rPr>
            <w:rFonts w:eastAsia="Times New Roman" w:cs="Times New Roman"/>
            <w:szCs w:val="24"/>
          </w:rPr>
          <w:id w:val="636304633"/>
          <w:citation/>
        </w:sdtPr>
        <w:sdtEndPr/>
        <w:sdtContent>
          <w:r w:rsidR="00FE44D3">
            <w:rPr>
              <w:rFonts w:eastAsia="Times New Roman" w:cs="Times New Roman"/>
              <w:szCs w:val="24"/>
            </w:rPr>
            <w:fldChar w:fldCharType="begin"/>
          </w:r>
          <w:r w:rsidR="00FE44D3">
            <w:rPr>
              <w:rFonts w:eastAsia="Times New Roman" w:cs="Times New Roman"/>
              <w:szCs w:val="24"/>
            </w:rPr>
            <w:instrText xml:space="preserve"> CITATION Hig12 \l 1033 </w:instrText>
          </w:r>
          <w:r w:rsidR="00FE44D3">
            <w:rPr>
              <w:rFonts w:eastAsia="Times New Roman" w:cs="Times New Roman"/>
              <w:szCs w:val="24"/>
            </w:rPr>
            <w:fldChar w:fldCharType="separate"/>
          </w:r>
          <w:r w:rsidR="00FE44D3">
            <w:rPr>
              <w:rFonts w:eastAsia="Times New Roman" w:cs="Times New Roman"/>
              <w:noProof/>
              <w:szCs w:val="24"/>
            </w:rPr>
            <w:t xml:space="preserve"> </w:t>
          </w:r>
          <w:r w:rsidR="00FE44D3" w:rsidRPr="00FE44D3">
            <w:rPr>
              <w:rFonts w:eastAsia="Times New Roman" w:cs="Times New Roman"/>
              <w:noProof/>
              <w:szCs w:val="24"/>
            </w:rPr>
            <w:t>(Higgins, 2012)</w:t>
          </w:r>
          <w:r w:rsidR="00FE44D3">
            <w:rPr>
              <w:rFonts w:eastAsia="Times New Roman" w:cs="Times New Roman"/>
              <w:szCs w:val="24"/>
            </w:rPr>
            <w:fldChar w:fldCharType="end"/>
          </w:r>
        </w:sdtContent>
      </w:sdt>
      <w:r w:rsidR="00FE44D3">
        <w:rPr>
          <w:rFonts w:eastAsia="Times New Roman" w:cs="Times New Roman"/>
          <w:szCs w:val="24"/>
        </w:rPr>
        <w:t xml:space="preserve">. </w:t>
      </w:r>
      <w:r w:rsidR="00787B35">
        <w:rPr>
          <w:rFonts w:eastAsia="Times New Roman" w:cs="Times New Roman"/>
          <w:szCs w:val="24"/>
        </w:rPr>
        <w:t xml:space="preserve">It </w:t>
      </w:r>
      <w:r w:rsidR="00787B35" w:rsidRPr="00F052B5">
        <w:rPr>
          <w:rFonts w:eastAsia="Times New Roman" w:cs="Times New Roman"/>
          <w:noProof/>
          <w:szCs w:val="24"/>
        </w:rPr>
        <w:t>is known</w:t>
      </w:r>
      <w:r w:rsidR="00787B35">
        <w:rPr>
          <w:rFonts w:eastAsia="Times New Roman" w:cs="Times New Roman"/>
          <w:szCs w:val="24"/>
        </w:rPr>
        <w:t xml:space="preserve"> that YTM refers to the return rate when the bond reaches maturity.</w:t>
      </w:r>
      <w:r w:rsidRPr="00625225">
        <w:rPr>
          <w:rFonts w:eastAsia="Times New Roman" w:cs="Times New Roman"/>
          <w:szCs w:val="24"/>
        </w:rPr>
        <w:t xml:space="preserve"> </w:t>
      </w:r>
      <w:r w:rsidR="00C737B8" w:rsidRPr="00F052B5">
        <w:rPr>
          <w:rFonts w:eastAsia="Times New Roman" w:cs="Times New Roman"/>
          <w:noProof/>
          <w:szCs w:val="24"/>
        </w:rPr>
        <w:t>In order to</w:t>
      </w:r>
      <w:r w:rsidR="00C737B8">
        <w:rPr>
          <w:rFonts w:eastAsia="Times New Roman" w:cs="Times New Roman"/>
          <w:szCs w:val="24"/>
        </w:rPr>
        <w:t xml:space="preserve"> determine the reason for</w:t>
      </w:r>
      <w:r w:rsidR="00F052B5">
        <w:rPr>
          <w:rFonts w:eastAsia="Times New Roman" w:cs="Times New Roman"/>
          <w:szCs w:val="24"/>
        </w:rPr>
        <w:t xml:space="preserve"> the</w:t>
      </w:r>
      <w:r w:rsidR="00C737B8">
        <w:rPr>
          <w:rFonts w:eastAsia="Times New Roman" w:cs="Times New Roman"/>
          <w:szCs w:val="24"/>
        </w:rPr>
        <w:t xml:space="preserve"> </w:t>
      </w:r>
      <w:r w:rsidR="00C737B8" w:rsidRPr="00F052B5">
        <w:rPr>
          <w:rFonts w:eastAsia="Times New Roman" w:cs="Times New Roman"/>
          <w:noProof/>
          <w:szCs w:val="24"/>
        </w:rPr>
        <w:t>premium</w:t>
      </w:r>
      <w:r w:rsidR="00C737B8">
        <w:rPr>
          <w:rFonts w:eastAsia="Times New Roman" w:cs="Times New Roman"/>
          <w:szCs w:val="24"/>
        </w:rPr>
        <w:t xml:space="preserve"> </w:t>
      </w:r>
      <w:r w:rsidR="00C737B8" w:rsidRPr="00F052B5">
        <w:rPr>
          <w:rFonts w:eastAsia="Times New Roman" w:cs="Times New Roman"/>
          <w:noProof/>
          <w:szCs w:val="24"/>
        </w:rPr>
        <w:t>s</w:t>
      </w:r>
      <w:r w:rsidR="00F052B5" w:rsidRPr="00F052B5">
        <w:rPr>
          <w:rFonts w:eastAsia="Times New Roman" w:cs="Times New Roman"/>
          <w:noProof/>
          <w:szCs w:val="24"/>
        </w:rPr>
        <w:t>ale</w:t>
      </w:r>
      <w:r w:rsidR="00C737B8" w:rsidRPr="00F052B5">
        <w:rPr>
          <w:rFonts w:eastAsia="Times New Roman" w:cs="Times New Roman"/>
          <w:noProof/>
          <w:szCs w:val="24"/>
        </w:rPr>
        <w:t xml:space="preserve"> of</w:t>
      </w:r>
      <w:r w:rsidR="00F052B5">
        <w:rPr>
          <w:rFonts w:eastAsia="Times New Roman" w:cs="Times New Roman"/>
          <w:szCs w:val="24"/>
        </w:rPr>
        <w:t xml:space="preserve"> the</w:t>
      </w:r>
      <w:r w:rsidR="00C737B8">
        <w:rPr>
          <w:rFonts w:eastAsia="Times New Roman" w:cs="Times New Roman"/>
          <w:szCs w:val="24"/>
        </w:rPr>
        <w:t xml:space="preserve"> </w:t>
      </w:r>
      <w:r w:rsidR="00C737B8" w:rsidRPr="00F052B5">
        <w:rPr>
          <w:rFonts w:eastAsia="Times New Roman" w:cs="Times New Roman"/>
          <w:noProof/>
          <w:szCs w:val="24"/>
        </w:rPr>
        <w:t>bond</w:t>
      </w:r>
      <w:r w:rsidR="00C737B8">
        <w:rPr>
          <w:rFonts w:eastAsia="Times New Roman" w:cs="Times New Roman"/>
          <w:szCs w:val="24"/>
        </w:rPr>
        <w:t xml:space="preserve">, par or discount then the YTM and rate of coupon </w:t>
      </w:r>
      <w:r w:rsidR="00C737B8" w:rsidRPr="00F052B5">
        <w:rPr>
          <w:rFonts w:eastAsia="Times New Roman" w:cs="Times New Roman"/>
          <w:noProof/>
          <w:szCs w:val="24"/>
        </w:rPr>
        <w:t>play</w:t>
      </w:r>
      <w:r w:rsidR="00C737B8">
        <w:rPr>
          <w:rFonts w:eastAsia="Times New Roman" w:cs="Times New Roman"/>
          <w:szCs w:val="24"/>
        </w:rPr>
        <w:t xml:space="preserve"> </w:t>
      </w:r>
      <w:r w:rsidR="00C737B8" w:rsidRPr="00F052B5">
        <w:rPr>
          <w:rFonts w:eastAsia="Times New Roman" w:cs="Times New Roman"/>
          <w:noProof/>
          <w:szCs w:val="24"/>
        </w:rPr>
        <w:t xml:space="preserve">a </w:t>
      </w:r>
      <w:r w:rsidR="00F052B5">
        <w:rPr>
          <w:rFonts w:eastAsia="Times New Roman" w:cs="Times New Roman"/>
          <w:noProof/>
          <w:szCs w:val="24"/>
        </w:rPr>
        <w:t>significant</w:t>
      </w:r>
      <w:r w:rsidR="00C737B8">
        <w:rPr>
          <w:rFonts w:eastAsia="Times New Roman" w:cs="Times New Roman"/>
          <w:szCs w:val="24"/>
        </w:rPr>
        <w:t xml:space="preserve"> role. </w:t>
      </w:r>
      <w:r w:rsidR="0004046C">
        <w:rPr>
          <w:rFonts w:eastAsia="Times New Roman" w:cs="Times New Roman"/>
          <w:szCs w:val="24"/>
        </w:rPr>
        <w:t xml:space="preserve">The </w:t>
      </w:r>
      <w:r w:rsidR="0004046C">
        <w:rPr>
          <w:rFonts w:eastAsia="Times New Roman" w:cs="Times New Roman"/>
          <w:szCs w:val="24"/>
        </w:rPr>
        <w:lastRenderedPageBreak/>
        <w:t xml:space="preserve">YTM and </w:t>
      </w:r>
      <w:r w:rsidR="0004046C" w:rsidRPr="00F052B5">
        <w:rPr>
          <w:rFonts w:eastAsia="Times New Roman" w:cs="Times New Roman"/>
          <w:noProof/>
          <w:szCs w:val="24"/>
        </w:rPr>
        <w:t>coupon</w:t>
      </w:r>
      <w:r w:rsidR="0004046C">
        <w:rPr>
          <w:rFonts w:eastAsia="Times New Roman" w:cs="Times New Roman"/>
          <w:szCs w:val="24"/>
        </w:rPr>
        <w:t xml:space="preserve"> rates related to the price of the bonds demonstrate an inverse relationship; the prices are high when the rates are low and vice versa. </w:t>
      </w:r>
      <w:r w:rsidR="006F7F95" w:rsidRPr="00625225">
        <w:rPr>
          <w:rFonts w:eastAsia="Times New Roman" w:cs="Times New Roman"/>
          <w:szCs w:val="24"/>
        </w:rPr>
        <w:t xml:space="preserve">Northwestern Bell </w:t>
      </w:r>
      <w:r w:rsidR="006F7F95">
        <w:rPr>
          <w:rFonts w:eastAsia="Times New Roman" w:cs="Times New Roman"/>
          <w:szCs w:val="24"/>
        </w:rPr>
        <w:t xml:space="preserve">and </w:t>
      </w:r>
      <w:r w:rsidRPr="00625225">
        <w:rPr>
          <w:rFonts w:eastAsia="Times New Roman" w:cs="Times New Roman"/>
          <w:szCs w:val="24"/>
        </w:rPr>
        <w:t>Goldman Sachs</w:t>
      </w:r>
      <w:r w:rsidR="006F7F95" w:rsidRPr="00625225">
        <w:rPr>
          <w:rFonts w:eastAsia="Times New Roman" w:cs="Times New Roman"/>
          <w:szCs w:val="24"/>
        </w:rPr>
        <w:t xml:space="preserve"> bonds</w:t>
      </w:r>
      <w:r w:rsidR="006F7F95">
        <w:rPr>
          <w:rFonts w:eastAsia="Times New Roman" w:cs="Times New Roman"/>
          <w:szCs w:val="24"/>
        </w:rPr>
        <w:t xml:space="preserve"> in the table above shows a premium sale while</w:t>
      </w:r>
      <w:r w:rsidRPr="00625225">
        <w:rPr>
          <w:rFonts w:eastAsia="Times New Roman" w:cs="Times New Roman"/>
          <w:szCs w:val="24"/>
        </w:rPr>
        <w:t xml:space="preserve"> Petroleos De Venezuela bonds </w:t>
      </w:r>
      <w:r w:rsidR="006F7F95">
        <w:rPr>
          <w:rFonts w:eastAsia="Times New Roman" w:cs="Times New Roman"/>
          <w:szCs w:val="24"/>
        </w:rPr>
        <w:t>are more likely to sell at a discount</w:t>
      </w:r>
      <w:r w:rsidR="005175D0">
        <w:rPr>
          <w:rFonts w:eastAsia="Times New Roman" w:cs="Times New Roman"/>
          <w:szCs w:val="24"/>
        </w:rPr>
        <w:t xml:space="preserve"> thus showing an inverse relationship between the market value and the rates</w:t>
      </w:r>
    </w:p>
    <w:p w:rsidR="00D2752F" w:rsidRPr="006919DC" w:rsidRDefault="006919DC" w:rsidP="006919DC">
      <w:pPr>
        <w:rPr>
          <w:b/>
        </w:rPr>
      </w:pPr>
      <w:r w:rsidRPr="006919DC">
        <w:rPr>
          <w:b/>
        </w:rPr>
        <w:t>5-Year Difference</w:t>
      </w:r>
    </w:p>
    <w:p w:rsidR="00D2752F" w:rsidRPr="00625225" w:rsidRDefault="00D2752F" w:rsidP="00D2752F">
      <w:pPr>
        <w:spacing w:after="0"/>
        <w:rPr>
          <w:rFonts w:eastAsia="Times New Roman" w:cs="Times New Roman"/>
          <w:szCs w:val="24"/>
        </w:rPr>
      </w:pPr>
      <w:r w:rsidRPr="00625225">
        <w:rPr>
          <w:rFonts w:eastAsia="Times New Roman" w:cs="Times New Roman"/>
          <w:szCs w:val="24"/>
        </w:rPr>
        <w:tab/>
      </w:r>
      <w:r w:rsidR="00695799">
        <w:rPr>
          <w:rFonts w:eastAsia="Times New Roman" w:cs="Times New Roman"/>
          <w:szCs w:val="24"/>
        </w:rPr>
        <w:t>Increasing the maturity time by</w:t>
      </w:r>
      <w:r w:rsidR="00D22127">
        <w:rPr>
          <w:rFonts w:eastAsia="Times New Roman" w:cs="Times New Roman"/>
          <w:szCs w:val="24"/>
        </w:rPr>
        <w:t xml:space="preserve"> five </w:t>
      </w:r>
      <w:r w:rsidR="00D22127" w:rsidRPr="00F052B5">
        <w:rPr>
          <w:rFonts w:eastAsia="Times New Roman" w:cs="Times New Roman"/>
          <w:noProof/>
          <w:szCs w:val="24"/>
        </w:rPr>
        <w:t>years</w:t>
      </w:r>
      <w:r w:rsidR="00F052B5">
        <w:rPr>
          <w:rFonts w:eastAsia="Times New Roman" w:cs="Times New Roman"/>
          <w:noProof/>
          <w:szCs w:val="24"/>
        </w:rPr>
        <w:t>,</w:t>
      </w:r>
      <w:r w:rsidR="00E47FB7">
        <w:rPr>
          <w:rFonts w:eastAsia="Times New Roman" w:cs="Times New Roman"/>
          <w:szCs w:val="24"/>
        </w:rPr>
        <w:t xml:space="preserve"> it has an effect of increasing the </w:t>
      </w:r>
      <w:r w:rsidR="00E47FB7" w:rsidRPr="00F052B5">
        <w:rPr>
          <w:rFonts w:eastAsia="Times New Roman" w:cs="Times New Roman"/>
          <w:noProof/>
          <w:szCs w:val="24"/>
        </w:rPr>
        <w:t>yield</w:t>
      </w:r>
      <w:r w:rsidR="00F052B5">
        <w:rPr>
          <w:rFonts w:eastAsia="Times New Roman" w:cs="Times New Roman"/>
          <w:noProof/>
          <w:szCs w:val="24"/>
        </w:rPr>
        <w:t>,</w:t>
      </w:r>
      <w:r w:rsidR="00E47FB7">
        <w:rPr>
          <w:rFonts w:eastAsia="Times New Roman" w:cs="Times New Roman"/>
          <w:szCs w:val="24"/>
        </w:rPr>
        <w:t xml:space="preserve"> and thus the market value is decreased</w:t>
      </w:r>
      <w:r w:rsidRPr="00625225">
        <w:rPr>
          <w:rFonts w:eastAsia="Times New Roman" w:cs="Times New Roman"/>
          <w:szCs w:val="24"/>
        </w:rPr>
        <w:t xml:space="preserve">. </w:t>
      </w:r>
      <w:r w:rsidR="001C025A">
        <w:rPr>
          <w:rFonts w:eastAsia="Times New Roman" w:cs="Times New Roman"/>
          <w:szCs w:val="24"/>
        </w:rPr>
        <w:t xml:space="preserve">Similarly, if </w:t>
      </w:r>
      <w:r w:rsidR="001C025A" w:rsidRPr="00F052B5">
        <w:rPr>
          <w:rFonts w:eastAsia="Times New Roman" w:cs="Times New Roman"/>
          <w:noProof/>
          <w:szCs w:val="24"/>
        </w:rPr>
        <w:t>a dec</w:t>
      </w:r>
      <w:r w:rsidR="00F052B5">
        <w:rPr>
          <w:rFonts w:eastAsia="Times New Roman" w:cs="Times New Roman"/>
          <w:noProof/>
          <w:szCs w:val="24"/>
        </w:rPr>
        <w:t>line in</w:t>
      </w:r>
      <w:r w:rsidR="001C025A">
        <w:rPr>
          <w:rFonts w:eastAsia="Times New Roman" w:cs="Times New Roman"/>
          <w:szCs w:val="24"/>
        </w:rPr>
        <w:t xml:space="preserve"> five years </w:t>
      </w:r>
      <w:r w:rsidR="001C025A" w:rsidRPr="00F052B5">
        <w:rPr>
          <w:rFonts w:eastAsia="Times New Roman" w:cs="Times New Roman"/>
          <w:noProof/>
          <w:szCs w:val="24"/>
        </w:rPr>
        <w:t>is effected</w:t>
      </w:r>
      <w:r w:rsidR="001C025A">
        <w:rPr>
          <w:rFonts w:eastAsia="Times New Roman" w:cs="Times New Roman"/>
          <w:szCs w:val="24"/>
        </w:rPr>
        <w:t xml:space="preserve"> on the maturity </w:t>
      </w:r>
      <w:r w:rsidR="001C025A" w:rsidRPr="00F052B5">
        <w:rPr>
          <w:rFonts w:eastAsia="Times New Roman" w:cs="Times New Roman"/>
          <w:noProof/>
          <w:szCs w:val="24"/>
        </w:rPr>
        <w:t>period</w:t>
      </w:r>
      <w:r w:rsidR="00F052B5">
        <w:rPr>
          <w:rFonts w:eastAsia="Times New Roman" w:cs="Times New Roman"/>
          <w:noProof/>
          <w:szCs w:val="24"/>
        </w:rPr>
        <w:t>,</w:t>
      </w:r>
      <w:r w:rsidR="001C025A">
        <w:rPr>
          <w:rFonts w:eastAsia="Times New Roman" w:cs="Times New Roman"/>
          <w:szCs w:val="24"/>
        </w:rPr>
        <w:t xml:space="preserve"> then the </w:t>
      </w:r>
      <w:r w:rsidR="001C025A" w:rsidRPr="00F052B5">
        <w:rPr>
          <w:rFonts w:eastAsia="Times New Roman" w:cs="Times New Roman"/>
          <w:noProof/>
          <w:szCs w:val="24"/>
        </w:rPr>
        <w:t>effect</w:t>
      </w:r>
      <w:r w:rsidR="001C025A">
        <w:rPr>
          <w:rFonts w:eastAsia="Times New Roman" w:cs="Times New Roman"/>
          <w:szCs w:val="24"/>
        </w:rPr>
        <w:t xml:space="preserve"> of </w:t>
      </w:r>
      <w:r w:rsidR="001C025A" w:rsidRPr="00F052B5">
        <w:rPr>
          <w:rFonts w:eastAsia="Times New Roman" w:cs="Times New Roman"/>
          <w:noProof/>
          <w:szCs w:val="24"/>
        </w:rPr>
        <w:t>decrease</w:t>
      </w:r>
      <w:r w:rsidR="001C025A">
        <w:rPr>
          <w:rFonts w:eastAsia="Times New Roman" w:cs="Times New Roman"/>
          <w:szCs w:val="24"/>
        </w:rPr>
        <w:t xml:space="preserve"> will be extended to the YTM causing an increase </w:t>
      </w:r>
      <w:r w:rsidR="00F052B5">
        <w:rPr>
          <w:rFonts w:eastAsia="Times New Roman" w:cs="Times New Roman"/>
          <w:noProof/>
          <w:szCs w:val="24"/>
        </w:rPr>
        <w:t>i</w:t>
      </w:r>
      <w:r w:rsidR="001C025A" w:rsidRPr="00F052B5">
        <w:rPr>
          <w:rFonts w:eastAsia="Times New Roman" w:cs="Times New Roman"/>
          <w:noProof/>
          <w:szCs w:val="24"/>
        </w:rPr>
        <w:t>n</w:t>
      </w:r>
      <w:r w:rsidR="001C025A">
        <w:rPr>
          <w:rFonts w:eastAsia="Times New Roman" w:cs="Times New Roman"/>
          <w:szCs w:val="24"/>
        </w:rPr>
        <w:t xml:space="preserve"> the bond’s market value. </w:t>
      </w:r>
      <w:r w:rsidR="0003568D">
        <w:rPr>
          <w:rFonts w:eastAsia="Times New Roman" w:cs="Times New Roman"/>
          <w:szCs w:val="24"/>
        </w:rPr>
        <w:t xml:space="preserve">This inference </w:t>
      </w:r>
      <w:r w:rsidR="0003568D" w:rsidRPr="00F052B5">
        <w:rPr>
          <w:rFonts w:eastAsia="Times New Roman" w:cs="Times New Roman"/>
          <w:noProof/>
          <w:szCs w:val="24"/>
        </w:rPr>
        <w:t>is derived</w:t>
      </w:r>
      <w:r w:rsidR="0003568D">
        <w:rPr>
          <w:rFonts w:eastAsia="Times New Roman" w:cs="Times New Roman"/>
          <w:szCs w:val="24"/>
        </w:rPr>
        <w:t xml:space="preserve"> from the values shown in the table above. </w:t>
      </w:r>
    </w:p>
    <w:p w:rsidR="00AA2709" w:rsidRPr="006919DC" w:rsidRDefault="006919DC" w:rsidP="006919DC">
      <w:pPr>
        <w:rPr>
          <w:b/>
        </w:rPr>
      </w:pPr>
      <w:r>
        <w:rPr>
          <w:b/>
        </w:rPr>
        <w:t xml:space="preserve">Stocks: </w:t>
      </w:r>
      <w:r w:rsidR="00D2752F" w:rsidRPr="006919DC">
        <w:rPr>
          <w:b/>
        </w:rPr>
        <w:t>Gordon Model</w:t>
      </w:r>
    </w:p>
    <w:tbl>
      <w:tblPr>
        <w:tblW w:w="9630" w:type="dxa"/>
        <w:tblInd w:w="-95" w:type="dxa"/>
        <w:tblLook w:val="04A0" w:firstRow="1" w:lastRow="0" w:firstColumn="1" w:lastColumn="0" w:noHBand="0" w:noVBand="1"/>
      </w:tblPr>
      <w:tblGrid>
        <w:gridCol w:w="3060"/>
        <w:gridCol w:w="1710"/>
        <w:gridCol w:w="1170"/>
        <w:gridCol w:w="1890"/>
        <w:gridCol w:w="1800"/>
      </w:tblGrid>
      <w:tr w:rsidR="00E77CCF" w:rsidRPr="00E77CCF" w:rsidTr="00E77CCF">
        <w:trPr>
          <w:trHeight w:val="6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b/>
                <w:color w:val="000000"/>
                <w:szCs w:val="24"/>
              </w:rPr>
              <w:t>Company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b/>
                <w:color w:val="000000"/>
                <w:szCs w:val="24"/>
              </w:rPr>
              <w:t>5-year Risk-Free Rate of Return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b/>
                <w:color w:val="000000"/>
                <w:szCs w:val="24"/>
              </w:rPr>
              <w:t>Beta (β)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b/>
                <w:color w:val="000000"/>
                <w:szCs w:val="24"/>
              </w:rPr>
              <w:t>5-Year Return on Top 500 Stocks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b/>
                <w:color w:val="000000"/>
                <w:szCs w:val="24"/>
              </w:rPr>
              <w:t>Required Rate of Return (CAPM)</w:t>
            </w:r>
          </w:p>
        </w:tc>
      </w:tr>
      <w:tr w:rsidR="00E77CCF" w:rsidRPr="00E77CCF" w:rsidTr="00E77CCF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AT&amp;T, INC (T)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1.32%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0.37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15.00%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6.38%</w:t>
            </w:r>
          </w:p>
        </w:tc>
      </w:tr>
      <w:tr w:rsidR="00E77CCF" w:rsidRPr="00E77CCF" w:rsidTr="00E77CCF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Sprint (S)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1.32%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-1.36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15.00%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-17.28%</w:t>
            </w:r>
          </w:p>
        </w:tc>
      </w:tr>
      <w:tr w:rsidR="00E77CCF" w:rsidRPr="00E77CCF" w:rsidTr="00E77CCF">
        <w:trPr>
          <w:trHeight w:val="1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T-Mobile US, INC. (TMUS)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1.32%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1.20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15.00%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7CCF" w:rsidRPr="00E77CCF" w:rsidRDefault="00E77CCF" w:rsidP="00E77CCF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E77CCF">
              <w:rPr>
                <w:rFonts w:eastAsia="Times New Roman" w:cs="Times New Roman"/>
                <w:color w:val="000000"/>
                <w:szCs w:val="24"/>
              </w:rPr>
              <w:t>17.74%</w:t>
            </w:r>
          </w:p>
        </w:tc>
      </w:tr>
    </w:tbl>
    <w:p w:rsidR="00AA2709" w:rsidRDefault="00AA2709" w:rsidP="00AA2709">
      <w:pPr>
        <w:spacing w:after="0"/>
        <w:rPr>
          <w:rFonts w:eastAsia="Times New Roman" w:cs="Times New Roman"/>
          <w:b/>
          <w:szCs w:val="24"/>
        </w:rPr>
      </w:pPr>
    </w:p>
    <w:tbl>
      <w:tblPr>
        <w:tblW w:w="10102" w:type="dxa"/>
        <w:jc w:val="center"/>
        <w:tblLook w:val="04A0" w:firstRow="1" w:lastRow="0" w:firstColumn="1" w:lastColumn="0" w:noHBand="0" w:noVBand="1"/>
      </w:tblPr>
      <w:tblGrid>
        <w:gridCol w:w="2155"/>
        <w:gridCol w:w="1260"/>
        <w:gridCol w:w="1620"/>
        <w:gridCol w:w="1350"/>
        <w:gridCol w:w="1440"/>
        <w:gridCol w:w="1197"/>
        <w:gridCol w:w="1080"/>
      </w:tblGrid>
      <w:tr w:rsidR="00BD7F30" w:rsidRPr="00BD7F30" w:rsidTr="00BD7F30">
        <w:trPr>
          <w:trHeight w:val="132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b/>
                <w:color w:val="000000"/>
                <w:szCs w:val="24"/>
              </w:rPr>
              <w:t>Company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b/>
                <w:color w:val="000000"/>
                <w:szCs w:val="24"/>
              </w:rPr>
              <w:t>Current Dividend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b/>
                <w:color w:val="000000"/>
                <w:szCs w:val="24"/>
              </w:rPr>
              <w:t>Next Year Projected Growth Rate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b/>
                <w:color w:val="000000"/>
                <w:szCs w:val="24"/>
              </w:rPr>
              <w:t>Required Rate of Return (CAPM)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b/>
                <w:color w:val="000000"/>
                <w:szCs w:val="24"/>
              </w:rPr>
              <w:t>Estimated Stock Price (Gordon Model)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b/>
                <w:color w:val="000000"/>
                <w:szCs w:val="24"/>
              </w:rPr>
              <w:t>Current Stock Price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b/>
                <w:color w:val="000000"/>
                <w:szCs w:val="24"/>
              </w:rPr>
              <w:t>Over- or Under-priced</w:t>
            </w:r>
          </w:p>
        </w:tc>
      </w:tr>
      <w:tr w:rsidR="00BD7F30" w:rsidRPr="00BD7F30" w:rsidTr="00BD7F30">
        <w:trPr>
          <w:trHeight w:val="287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AT&amp;T, INC (T)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1.88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2.53%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6.38%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48.83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34.01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Under</w:t>
            </w:r>
          </w:p>
        </w:tc>
      </w:tr>
      <w:tr w:rsidR="00BD7F30" w:rsidRPr="00BD7F30" w:rsidTr="00BD7F30">
        <w:trPr>
          <w:trHeight w:val="315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Sprint (S)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46.99%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-17.28%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Over</w:t>
            </w:r>
          </w:p>
        </w:tc>
      </w:tr>
      <w:tr w:rsidR="00BD7F30" w:rsidRPr="00BD7F30" w:rsidTr="00BD7F30">
        <w:trPr>
          <w:trHeight w:val="188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T-Mobile US, INC. (TMUS)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113.14%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17.74%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34.31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F30" w:rsidRPr="00BD7F30" w:rsidRDefault="00BD7F30" w:rsidP="00BD7F30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BD7F30">
              <w:rPr>
                <w:rFonts w:eastAsia="Times New Roman" w:cs="Times New Roman"/>
                <w:color w:val="000000"/>
                <w:szCs w:val="24"/>
              </w:rPr>
              <w:t>Over</w:t>
            </w:r>
          </w:p>
        </w:tc>
      </w:tr>
    </w:tbl>
    <w:p w:rsidR="00D2752F" w:rsidRPr="00AA2709" w:rsidRDefault="00D2752F" w:rsidP="00AA2709">
      <w:pPr>
        <w:spacing w:after="0"/>
      </w:pPr>
    </w:p>
    <w:p w:rsidR="00935048" w:rsidRDefault="00D2752F" w:rsidP="00D275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ab/>
      </w:r>
      <w:r w:rsidRPr="00DA7967">
        <w:rPr>
          <w:rFonts w:eastAsia="Times New Roman" w:cs="Times New Roman"/>
          <w:szCs w:val="24"/>
        </w:rPr>
        <w:t xml:space="preserve">The Gordon Model </w:t>
      </w:r>
      <w:r w:rsidR="00096589">
        <w:rPr>
          <w:rFonts w:eastAsia="Times New Roman" w:cs="Times New Roman"/>
          <w:szCs w:val="24"/>
        </w:rPr>
        <w:t>gives a means of figuring the cost of equity</w:t>
      </w:r>
      <w:r w:rsidRPr="00DA7967">
        <w:rPr>
          <w:rFonts w:eastAsia="Times New Roman" w:cs="Times New Roman"/>
          <w:szCs w:val="24"/>
        </w:rPr>
        <w:t xml:space="preserve">. The </w:t>
      </w:r>
      <w:r w:rsidR="00935048">
        <w:rPr>
          <w:rFonts w:eastAsia="Times New Roman" w:cs="Times New Roman"/>
          <w:szCs w:val="24"/>
        </w:rPr>
        <w:t xml:space="preserve">model </w:t>
      </w:r>
      <w:r w:rsidRPr="00DA7967">
        <w:rPr>
          <w:rFonts w:eastAsia="Times New Roman" w:cs="Times New Roman"/>
          <w:szCs w:val="24"/>
        </w:rPr>
        <w:t xml:space="preserve">equation is: </w:t>
      </w:r>
    </w:p>
    <w:p w:rsidR="00935048" w:rsidRDefault="006246BE" w:rsidP="00D275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Value of stock</w:t>
      </w:r>
      <w:r w:rsidR="00D2752F" w:rsidRPr="00DA7967">
        <w:rPr>
          <w:rFonts w:eastAsia="Times New Roman" w:cs="Times New Roman"/>
          <w:szCs w:val="24"/>
        </w:rPr>
        <w:t xml:space="preserve"> = D</w:t>
      </w:r>
      <w:r w:rsidR="00D2752F" w:rsidRPr="00DA7967">
        <w:rPr>
          <w:rFonts w:eastAsia="Times New Roman" w:cs="Times New Roman"/>
          <w:szCs w:val="24"/>
          <w:vertAlign w:val="subscript"/>
        </w:rPr>
        <w:t>1</w:t>
      </w:r>
      <w:r w:rsidR="00D2752F" w:rsidRPr="00DA7967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(K - g )</w:t>
      </w:r>
    </w:p>
    <w:p w:rsidR="00D41F0A" w:rsidRDefault="00D2752F" w:rsidP="00D2752F">
      <w:pPr>
        <w:spacing w:after="0"/>
        <w:rPr>
          <w:rFonts w:eastAsia="Times New Roman" w:cs="Times New Roman"/>
          <w:szCs w:val="24"/>
        </w:rPr>
      </w:pPr>
      <w:r w:rsidRPr="00DA7967">
        <w:rPr>
          <w:rFonts w:eastAsia="Times New Roman" w:cs="Times New Roman"/>
          <w:szCs w:val="24"/>
        </w:rPr>
        <w:t>D</w:t>
      </w:r>
      <w:r w:rsidRPr="00DA7967">
        <w:rPr>
          <w:rFonts w:eastAsia="Times New Roman" w:cs="Times New Roman"/>
          <w:szCs w:val="24"/>
          <w:vertAlign w:val="subscript"/>
        </w:rPr>
        <w:t>1</w:t>
      </w:r>
      <w:r w:rsidRPr="00DA7967">
        <w:rPr>
          <w:rFonts w:eastAsia="Times New Roman" w:cs="Times New Roman"/>
          <w:szCs w:val="24"/>
        </w:rPr>
        <w:t xml:space="preserve"> is</w:t>
      </w:r>
      <w:r w:rsidR="00D41F0A">
        <w:rPr>
          <w:rFonts w:eastAsia="Times New Roman" w:cs="Times New Roman"/>
          <w:szCs w:val="24"/>
        </w:rPr>
        <w:t xml:space="preserve"> the dividend of the next period,</w:t>
      </w:r>
    </w:p>
    <w:p w:rsidR="00690A76" w:rsidRDefault="00D2752F" w:rsidP="00D2752F">
      <w:pPr>
        <w:spacing w:after="0"/>
        <w:rPr>
          <w:rFonts w:eastAsia="Times New Roman" w:cs="Times New Roman"/>
          <w:szCs w:val="24"/>
        </w:rPr>
      </w:pPr>
      <w:r w:rsidRPr="00DA7967">
        <w:rPr>
          <w:rFonts w:eastAsia="Times New Roman" w:cs="Times New Roman"/>
          <w:szCs w:val="24"/>
        </w:rPr>
        <w:t xml:space="preserve"> </w:t>
      </w:r>
      <w:r w:rsidR="006246BE">
        <w:rPr>
          <w:rFonts w:eastAsia="Times New Roman" w:cs="Times New Roman"/>
          <w:szCs w:val="24"/>
        </w:rPr>
        <w:t xml:space="preserve">K is </w:t>
      </w:r>
      <w:r w:rsidR="006246BE" w:rsidRPr="00F052B5">
        <w:rPr>
          <w:rFonts w:eastAsia="Times New Roman" w:cs="Times New Roman"/>
          <w:noProof/>
          <w:szCs w:val="24"/>
        </w:rPr>
        <w:t>the asset</w:t>
      </w:r>
      <w:r w:rsidR="00F052B5" w:rsidRPr="00F052B5">
        <w:rPr>
          <w:rFonts w:eastAsia="Times New Roman" w:cs="Times New Roman"/>
          <w:noProof/>
          <w:szCs w:val="24"/>
        </w:rPr>
        <w:t>'</w:t>
      </w:r>
      <w:r w:rsidR="006246BE" w:rsidRPr="00F052B5">
        <w:rPr>
          <w:rFonts w:eastAsia="Times New Roman" w:cs="Times New Roman"/>
          <w:noProof/>
          <w:szCs w:val="24"/>
        </w:rPr>
        <w:t>s rate</w:t>
      </w:r>
      <w:r w:rsidR="006246BE">
        <w:rPr>
          <w:rFonts w:eastAsia="Times New Roman" w:cs="Times New Roman"/>
          <w:szCs w:val="24"/>
        </w:rPr>
        <w:t xml:space="preserve"> of return</w:t>
      </w:r>
      <w:r w:rsidR="00690A76">
        <w:rPr>
          <w:rFonts w:eastAsia="Times New Roman" w:cs="Times New Roman"/>
          <w:szCs w:val="24"/>
        </w:rPr>
        <w:t xml:space="preserve"> </w:t>
      </w:r>
    </w:p>
    <w:p w:rsidR="005E6142" w:rsidRDefault="00690A76" w:rsidP="00D2752F">
      <w:pPr>
        <w:spacing w:after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</w:t>
      </w:r>
      <w:r w:rsidR="00D2752F" w:rsidRPr="00DA7967">
        <w:rPr>
          <w:rFonts w:eastAsia="Times New Roman" w:cs="Times New Roman"/>
          <w:szCs w:val="24"/>
        </w:rPr>
        <w:t xml:space="preserve">nd g is </w:t>
      </w:r>
      <w:r>
        <w:rPr>
          <w:rFonts w:eastAsia="Times New Roman" w:cs="Times New Roman"/>
          <w:szCs w:val="24"/>
        </w:rPr>
        <w:t xml:space="preserve">the growth rate that </w:t>
      </w:r>
      <w:r w:rsidRPr="00F052B5">
        <w:rPr>
          <w:rFonts w:eastAsia="Times New Roman" w:cs="Times New Roman"/>
          <w:noProof/>
          <w:szCs w:val="24"/>
        </w:rPr>
        <w:t>is expected</w:t>
      </w:r>
      <w:sdt>
        <w:sdtPr>
          <w:rPr>
            <w:rFonts w:eastAsia="Times New Roman" w:cs="Times New Roman"/>
            <w:szCs w:val="24"/>
          </w:rPr>
          <w:id w:val="-254361594"/>
          <w:citation/>
        </w:sdtPr>
        <w:sdtEndPr/>
        <w:sdtContent>
          <w:r w:rsidR="00FE44D3">
            <w:rPr>
              <w:rFonts w:eastAsia="Times New Roman" w:cs="Times New Roman"/>
              <w:szCs w:val="24"/>
            </w:rPr>
            <w:fldChar w:fldCharType="begin"/>
          </w:r>
          <w:r w:rsidR="00FE44D3">
            <w:rPr>
              <w:rFonts w:eastAsia="Times New Roman" w:cs="Times New Roman"/>
              <w:szCs w:val="24"/>
            </w:rPr>
            <w:instrText xml:space="preserve"> CITATION Edi14 \l 1033 </w:instrText>
          </w:r>
          <w:r w:rsidR="00FE44D3">
            <w:rPr>
              <w:rFonts w:eastAsia="Times New Roman" w:cs="Times New Roman"/>
              <w:szCs w:val="24"/>
            </w:rPr>
            <w:fldChar w:fldCharType="separate"/>
          </w:r>
          <w:r w:rsidR="00FE44D3">
            <w:rPr>
              <w:rFonts w:eastAsia="Times New Roman" w:cs="Times New Roman"/>
              <w:noProof/>
              <w:szCs w:val="24"/>
            </w:rPr>
            <w:t xml:space="preserve"> </w:t>
          </w:r>
          <w:r w:rsidR="00FE44D3" w:rsidRPr="00FE44D3">
            <w:rPr>
              <w:rFonts w:eastAsia="Times New Roman" w:cs="Times New Roman"/>
              <w:noProof/>
              <w:szCs w:val="24"/>
            </w:rPr>
            <w:t>(Editorial Board, 2014)</w:t>
          </w:r>
          <w:r w:rsidR="00FE44D3">
            <w:rPr>
              <w:rFonts w:eastAsia="Times New Roman" w:cs="Times New Roman"/>
              <w:szCs w:val="24"/>
            </w:rPr>
            <w:fldChar w:fldCharType="end"/>
          </w:r>
        </w:sdtContent>
      </w:sdt>
      <w:r w:rsidR="00D2752F" w:rsidRPr="00DA7967">
        <w:rPr>
          <w:rFonts w:eastAsia="Times New Roman" w:cs="Times New Roman"/>
          <w:szCs w:val="24"/>
        </w:rPr>
        <w:t xml:space="preserve">. </w:t>
      </w:r>
    </w:p>
    <w:p w:rsidR="00D2752F" w:rsidRPr="00DA7967" w:rsidRDefault="005E6142" w:rsidP="00C700C5">
      <w:pPr>
        <w:spacing w:after="0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However, the model has a weakness that it has no practicality for application to companies that are not making dividend payments </w:t>
      </w:r>
      <w:r w:rsidR="00461FD5">
        <w:rPr>
          <w:rFonts w:eastAsia="Times New Roman" w:cs="Times New Roman"/>
          <w:szCs w:val="24"/>
        </w:rPr>
        <w:t>and</w:t>
      </w:r>
      <w:r w:rsidR="00866CB4">
        <w:rPr>
          <w:rFonts w:eastAsia="Times New Roman" w:cs="Times New Roman"/>
          <w:szCs w:val="24"/>
        </w:rPr>
        <w:t xml:space="preserve"> has</w:t>
      </w:r>
      <w:r w:rsidR="00F052B5">
        <w:rPr>
          <w:rFonts w:eastAsia="Times New Roman" w:cs="Times New Roman"/>
          <w:szCs w:val="24"/>
        </w:rPr>
        <w:t xml:space="preserve"> a</w:t>
      </w:r>
      <w:r w:rsidR="00866CB4">
        <w:rPr>
          <w:rFonts w:eastAsia="Times New Roman" w:cs="Times New Roman"/>
          <w:szCs w:val="24"/>
        </w:rPr>
        <w:t xml:space="preserve"> </w:t>
      </w:r>
      <w:r w:rsidR="00866CB4" w:rsidRPr="00F052B5">
        <w:rPr>
          <w:rFonts w:eastAsia="Times New Roman" w:cs="Times New Roman"/>
          <w:noProof/>
          <w:szCs w:val="24"/>
        </w:rPr>
        <w:t>reliance</w:t>
      </w:r>
      <w:r w:rsidR="00866CB4">
        <w:rPr>
          <w:rFonts w:eastAsia="Times New Roman" w:cs="Times New Roman"/>
          <w:szCs w:val="24"/>
        </w:rPr>
        <w:t xml:space="preserve"> on the ability of the company to maintain a growth rate that is constant. </w:t>
      </w:r>
      <w:r w:rsidR="00025AE6">
        <w:rPr>
          <w:rFonts w:eastAsia="Times New Roman" w:cs="Times New Roman"/>
          <w:szCs w:val="24"/>
        </w:rPr>
        <w:t xml:space="preserve">Despite that, it has its strengths too which include the simplicity of the concept that boosts understanding and has better applicability to companies that have </w:t>
      </w:r>
      <w:r w:rsidR="00025AE6" w:rsidRPr="00F052B5">
        <w:rPr>
          <w:rFonts w:eastAsia="Times New Roman" w:cs="Times New Roman"/>
          <w:noProof/>
          <w:szCs w:val="24"/>
        </w:rPr>
        <w:t>constant</w:t>
      </w:r>
      <w:r w:rsidR="00025AE6">
        <w:rPr>
          <w:rFonts w:eastAsia="Times New Roman" w:cs="Times New Roman"/>
          <w:szCs w:val="24"/>
        </w:rPr>
        <w:t xml:space="preserve"> rates of growth or </w:t>
      </w:r>
      <w:r w:rsidR="00FE44D3">
        <w:rPr>
          <w:rFonts w:eastAsia="Times New Roman" w:cs="Times New Roman"/>
          <w:szCs w:val="24"/>
        </w:rPr>
        <w:t>are much older in the industry</w:t>
      </w:r>
      <w:sdt>
        <w:sdtPr>
          <w:rPr>
            <w:rFonts w:eastAsia="Times New Roman" w:cs="Times New Roman"/>
            <w:szCs w:val="24"/>
          </w:rPr>
          <w:id w:val="-161392144"/>
          <w:citation/>
        </w:sdtPr>
        <w:sdtEndPr/>
        <w:sdtContent>
          <w:r w:rsidR="00FE44D3">
            <w:rPr>
              <w:rFonts w:eastAsia="Times New Roman" w:cs="Times New Roman"/>
              <w:szCs w:val="24"/>
            </w:rPr>
            <w:fldChar w:fldCharType="begin"/>
          </w:r>
          <w:r w:rsidR="00FE44D3">
            <w:rPr>
              <w:rFonts w:eastAsia="Times New Roman" w:cs="Times New Roman"/>
              <w:szCs w:val="24"/>
            </w:rPr>
            <w:instrText xml:space="preserve"> CITATION fin17 \l 1033 </w:instrText>
          </w:r>
          <w:r w:rsidR="00FE44D3">
            <w:rPr>
              <w:rFonts w:eastAsia="Times New Roman" w:cs="Times New Roman"/>
              <w:szCs w:val="24"/>
            </w:rPr>
            <w:fldChar w:fldCharType="separate"/>
          </w:r>
          <w:r w:rsidR="00FE44D3">
            <w:rPr>
              <w:rFonts w:eastAsia="Times New Roman" w:cs="Times New Roman"/>
              <w:noProof/>
              <w:szCs w:val="24"/>
            </w:rPr>
            <w:t xml:space="preserve"> </w:t>
          </w:r>
          <w:r w:rsidR="00FE44D3" w:rsidRPr="00FE44D3">
            <w:rPr>
              <w:rFonts w:eastAsia="Times New Roman" w:cs="Times New Roman"/>
              <w:noProof/>
              <w:szCs w:val="24"/>
            </w:rPr>
            <w:t>(financial education, 2017)</w:t>
          </w:r>
          <w:r w:rsidR="00FE44D3">
            <w:rPr>
              <w:rFonts w:eastAsia="Times New Roman" w:cs="Times New Roman"/>
              <w:szCs w:val="24"/>
            </w:rPr>
            <w:fldChar w:fldCharType="end"/>
          </w:r>
        </w:sdtContent>
      </w:sdt>
      <w:r w:rsidR="00FE44D3">
        <w:rPr>
          <w:rFonts w:eastAsia="Times New Roman" w:cs="Times New Roman"/>
          <w:szCs w:val="24"/>
        </w:rPr>
        <w:t>.</w:t>
      </w:r>
    </w:p>
    <w:p w:rsidR="00D2752F" w:rsidRPr="00DA7967" w:rsidRDefault="00D2752F" w:rsidP="00D2752F">
      <w:pPr>
        <w:spacing w:after="0"/>
        <w:rPr>
          <w:rFonts w:eastAsia="Times New Roman" w:cs="Times New Roman"/>
          <w:szCs w:val="24"/>
        </w:rPr>
      </w:pPr>
      <w:r w:rsidRPr="00DA7967">
        <w:rPr>
          <w:rFonts w:eastAsia="Times New Roman" w:cs="Times New Roman"/>
          <w:szCs w:val="24"/>
        </w:rPr>
        <w:tab/>
      </w:r>
      <w:r w:rsidR="00F052B5">
        <w:t xml:space="preserve">An analysis of </w:t>
      </w:r>
      <w:r w:rsidR="00F052B5" w:rsidRPr="0075131D">
        <w:rPr>
          <w:noProof/>
        </w:rPr>
        <w:t xml:space="preserve">the </w:t>
      </w:r>
      <w:r w:rsidR="00F052B5">
        <w:rPr>
          <w:noProof/>
        </w:rPr>
        <w:t xml:space="preserve">weaknesses and </w:t>
      </w:r>
      <w:r w:rsidR="00F052B5" w:rsidRPr="0075131D">
        <w:rPr>
          <w:noProof/>
        </w:rPr>
        <w:t>streng</w:t>
      </w:r>
      <w:r w:rsidR="00F052B5">
        <w:rPr>
          <w:noProof/>
        </w:rPr>
        <w:t>th</w:t>
      </w:r>
      <w:r w:rsidR="00F052B5" w:rsidRPr="0075131D">
        <w:rPr>
          <w:noProof/>
        </w:rPr>
        <w:t>s</w:t>
      </w:r>
      <w:r w:rsidR="00F052B5">
        <w:rPr>
          <w:noProof/>
        </w:rPr>
        <w:t xml:space="preserve"> of the</w:t>
      </w:r>
      <w:r w:rsidR="00F052B5" w:rsidRPr="0075131D">
        <w:rPr>
          <w:noProof/>
        </w:rPr>
        <w:t xml:space="preserve"> model</w:t>
      </w:r>
      <w:r w:rsidR="00F052B5">
        <w:rPr>
          <w:noProof/>
        </w:rPr>
        <w:t xml:space="preserve"> eliminates its </w:t>
      </w:r>
      <w:r w:rsidR="00F052B5" w:rsidRPr="0075131D">
        <w:rPr>
          <w:noProof/>
        </w:rPr>
        <w:t>suitability</w:t>
      </w:r>
      <w:r w:rsidR="00F052B5">
        <w:t xml:space="preserve"> for use in the determination of T-Mobile’s and Sprint’s stock value as both companies do not currently make payments of dividends. </w:t>
      </w:r>
      <w:r w:rsidR="00726DA0">
        <w:rPr>
          <w:rFonts w:eastAsia="Times New Roman" w:cs="Times New Roman"/>
          <w:szCs w:val="24"/>
        </w:rPr>
        <w:t>AT&amp;T has its stock price currently underpriced as compared to the estimates of the stock price using the Gordon Model.</w:t>
      </w:r>
      <w:r w:rsidRPr="00DA7967">
        <w:rPr>
          <w:rFonts w:eastAsia="Times New Roman" w:cs="Times New Roman"/>
          <w:szCs w:val="24"/>
        </w:rPr>
        <w:t xml:space="preserve"> Sprint, </w:t>
      </w:r>
      <w:r w:rsidR="00E86C1C" w:rsidRPr="00DA7967">
        <w:rPr>
          <w:rFonts w:eastAsia="Times New Roman" w:cs="Times New Roman"/>
          <w:szCs w:val="24"/>
        </w:rPr>
        <w:t>AT&amp;T</w:t>
      </w:r>
      <w:r w:rsidR="00E86C1C">
        <w:rPr>
          <w:rFonts w:eastAsia="Times New Roman" w:cs="Times New Roman"/>
          <w:szCs w:val="24"/>
        </w:rPr>
        <w:t xml:space="preserve">, and </w:t>
      </w:r>
      <w:r w:rsidRPr="00DA7967">
        <w:rPr>
          <w:rFonts w:eastAsia="Times New Roman" w:cs="Times New Roman"/>
          <w:szCs w:val="24"/>
        </w:rPr>
        <w:t xml:space="preserve">T-Mobile </w:t>
      </w:r>
      <w:r w:rsidR="00E86C1C">
        <w:rPr>
          <w:rFonts w:eastAsia="Times New Roman" w:cs="Times New Roman"/>
          <w:szCs w:val="24"/>
        </w:rPr>
        <w:t xml:space="preserve">conduct their operations in the industry of </w:t>
      </w:r>
      <w:r w:rsidR="00E86C1C" w:rsidRPr="00F052B5">
        <w:rPr>
          <w:rFonts w:eastAsia="Times New Roman" w:cs="Times New Roman"/>
          <w:noProof/>
          <w:szCs w:val="24"/>
        </w:rPr>
        <w:t>communication</w:t>
      </w:r>
      <w:r w:rsidR="00F052B5">
        <w:rPr>
          <w:rFonts w:eastAsia="Times New Roman" w:cs="Times New Roman"/>
          <w:noProof/>
          <w:szCs w:val="24"/>
        </w:rPr>
        <w:t>. H</w:t>
      </w:r>
      <w:r w:rsidR="00E86C1C" w:rsidRPr="00F052B5">
        <w:rPr>
          <w:rFonts w:eastAsia="Times New Roman" w:cs="Times New Roman"/>
          <w:noProof/>
          <w:szCs w:val="24"/>
        </w:rPr>
        <w:t>owever</w:t>
      </w:r>
      <w:r w:rsidR="00E86C1C">
        <w:rPr>
          <w:rFonts w:eastAsia="Times New Roman" w:cs="Times New Roman"/>
          <w:szCs w:val="24"/>
        </w:rPr>
        <w:t xml:space="preserve">, it is AT&amp;T </w:t>
      </w:r>
      <w:r w:rsidR="00F052B5">
        <w:rPr>
          <w:rFonts w:eastAsia="Times New Roman" w:cs="Times New Roman"/>
          <w:noProof/>
          <w:szCs w:val="24"/>
        </w:rPr>
        <w:t>apparent</w:t>
      </w:r>
      <w:r w:rsidR="00E86C1C" w:rsidRPr="00F052B5">
        <w:rPr>
          <w:rFonts w:eastAsia="Times New Roman" w:cs="Times New Roman"/>
          <w:noProof/>
          <w:szCs w:val="24"/>
        </w:rPr>
        <w:t>ly</w:t>
      </w:r>
      <w:r w:rsidR="00E86C1C">
        <w:rPr>
          <w:rFonts w:eastAsia="Times New Roman" w:cs="Times New Roman"/>
          <w:szCs w:val="24"/>
        </w:rPr>
        <w:t xml:space="preserve"> performs better financially than its competitors. 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2785"/>
        <w:gridCol w:w="1530"/>
        <w:gridCol w:w="990"/>
        <w:gridCol w:w="1350"/>
        <w:gridCol w:w="1440"/>
        <w:gridCol w:w="1440"/>
      </w:tblGrid>
      <w:tr w:rsidR="00DE38C8" w:rsidRPr="00DE38C8" w:rsidTr="00DE38C8">
        <w:trPr>
          <w:trHeight w:val="692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Company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Estimated Earning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P/E Ratio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Estimated Stock Price (P/E)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Current Stock Price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Over</w:t>
            </w:r>
            <w:r>
              <w:rPr>
                <w:rFonts w:eastAsia="Times New Roman" w:cs="Times New Roman"/>
                <w:color w:val="000000"/>
                <w:szCs w:val="24"/>
              </w:rPr>
              <w:t>- or Under-p</w:t>
            </w:r>
            <w:r w:rsidRPr="00DE38C8">
              <w:rPr>
                <w:rFonts w:eastAsia="Times New Roman" w:cs="Times New Roman"/>
                <w:color w:val="000000"/>
                <w:szCs w:val="24"/>
              </w:rPr>
              <w:t>riced</w:t>
            </w:r>
          </w:p>
        </w:tc>
      </w:tr>
      <w:tr w:rsidR="00DE38C8" w:rsidRPr="00DE38C8" w:rsidTr="00DE38C8">
        <w:trPr>
          <w:trHeight w:val="125"/>
        </w:trPr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(next year)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DE38C8" w:rsidRPr="00DE38C8" w:rsidTr="00DE38C8">
        <w:trPr>
          <w:trHeight w:val="7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AT&amp;T, INC (T)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2.31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13.64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31.5084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34.01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Over</w:t>
            </w:r>
          </w:p>
        </w:tc>
      </w:tr>
      <w:tr w:rsidR="00DE38C8" w:rsidRPr="00DE38C8" w:rsidTr="00DE38C8">
        <w:trPr>
          <w:trHeight w:val="315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Sprint (S)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-0.87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-11.39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9.9093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5.27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Under</w:t>
            </w:r>
          </w:p>
        </w:tc>
      </w:tr>
      <w:tr w:rsidR="00DE38C8" w:rsidRPr="00DE38C8" w:rsidTr="00DE38C8">
        <w:trPr>
          <w:trHeight w:val="7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T-Mobile US, INC. (TMUS)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0.15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44.15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6.6225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34.31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8C8" w:rsidRPr="00DE38C8" w:rsidRDefault="00DE38C8" w:rsidP="00DE38C8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DE38C8">
              <w:rPr>
                <w:rFonts w:eastAsia="Times New Roman" w:cs="Times New Roman"/>
                <w:color w:val="000000"/>
                <w:szCs w:val="24"/>
              </w:rPr>
              <w:t>Over</w:t>
            </w:r>
          </w:p>
        </w:tc>
      </w:tr>
    </w:tbl>
    <w:p w:rsidR="00ED00C2" w:rsidRDefault="00ED00C2">
      <w:pPr>
        <w:rPr>
          <w:rFonts w:eastAsia="Times New Roman"/>
        </w:rPr>
      </w:pPr>
    </w:p>
    <w:p w:rsidR="00D97DE8" w:rsidRDefault="00D97DE8" w:rsidP="00C700C5">
      <w:pPr>
        <w:spacing w:after="0"/>
        <w:jc w:val="center"/>
        <w:rPr>
          <w:rFonts w:eastAsia="Times New Roman" w:cs="Times New Roman"/>
          <w:b/>
          <w:i/>
          <w:szCs w:val="24"/>
        </w:rPr>
      </w:pPr>
    </w:p>
    <w:p w:rsidR="00D2752F" w:rsidRPr="00D97DE8" w:rsidRDefault="00D2752F" w:rsidP="00D97DE8">
      <w:pPr>
        <w:rPr>
          <w:b/>
        </w:rPr>
      </w:pPr>
      <w:r w:rsidRPr="00D97DE8">
        <w:rPr>
          <w:b/>
        </w:rPr>
        <w:lastRenderedPageBreak/>
        <w:t>Valuation</w:t>
      </w:r>
    </w:p>
    <w:p w:rsidR="00D2752F" w:rsidRPr="008A432A" w:rsidRDefault="00D2752F" w:rsidP="00D2752F">
      <w:pPr>
        <w:spacing w:after="0"/>
        <w:rPr>
          <w:rFonts w:eastAsia="Times New Roman" w:cs="Times New Roman"/>
          <w:szCs w:val="24"/>
        </w:rPr>
      </w:pPr>
      <w:r w:rsidRPr="008A432A">
        <w:rPr>
          <w:rFonts w:eastAsia="Times New Roman" w:cs="Times New Roman"/>
          <w:szCs w:val="24"/>
        </w:rPr>
        <w:tab/>
      </w:r>
      <w:r w:rsidR="00ED00C2">
        <w:rPr>
          <w:rFonts w:eastAsia="Times New Roman" w:cs="Times New Roman"/>
          <w:szCs w:val="24"/>
        </w:rPr>
        <w:t xml:space="preserve">Another method that can </w:t>
      </w:r>
      <w:r w:rsidR="00ED00C2" w:rsidRPr="00F052B5">
        <w:rPr>
          <w:rFonts w:eastAsia="Times New Roman" w:cs="Times New Roman"/>
          <w:noProof/>
          <w:szCs w:val="24"/>
        </w:rPr>
        <w:t>be used</w:t>
      </w:r>
      <w:r w:rsidR="00ED00C2">
        <w:rPr>
          <w:rFonts w:eastAsia="Times New Roman" w:cs="Times New Roman"/>
          <w:szCs w:val="24"/>
        </w:rPr>
        <w:t xml:space="preserve"> for the valuation of </w:t>
      </w:r>
      <w:r w:rsidR="00ED00C2" w:rsidRPr="00F052B5">
        <w:rPr>
          <w:rFonts w:eastAsia="Times New Roman" w:cs="Times New Roman"/>
          <w:noProof/>
          <w:szCs w:val="24"/>
        </w:rPr>
        <w:t>stock</w:t>
      </w:r>
      <w:r w:rsidR="00ED00C2">
        <w:rPr>
          <w:rFonts w:eastAsia="Times New Roman" w:cs="Times New Roman"/>
          <w:szCs w:val="24"/>
        </w:rPr>
        <w:t xml:space="preserve"> is the ratio of price-to-earning, it is often </w:t>
      </w:r>
      <w:r w:rsidR="00ED00C2" w:rsidRPr="00F052B5">
        <w:rPr>
          <w:rFonts w:eastAsia="Times New Roman" w:cs="Times New Roman"/>
          <w:noProof/>
          <w:szCs w:val="24"/>
        </w:rPr>
        <w:t>used</w:t>
      </w:r>
      <w:r w:rsidR="00ED00C2">
        <w:rPr>
          <w:rFonts w:eastAsia="Times New Roman" w:cs="Times New Roman"/>
          <w:szCs w:val="24"/>
        </w:rPr>
        <w:t xml:space="preserve"> by the investors when determining whether a stock is under or overpriced related to the stock price estimates. The product of estimated earnings and the price-to-earnings ratio </w:t>
      </w:r>
      <w:r w:rsidR="00ED00C2" w:rsidRPr="00F052B5">
        <w:rPr>
          <w:rFonts w:eastAsia="Times New Roman" w:cs="Times New Roman"/>
          <w:noProof/>
          <w:szCs w:val="24"/>
        </w:rPr>
        <w:t>is used</w:t>
      </w:r>
      <w:r w:rsidR="00ED00C2">
        <w:rPr>
          <w:rFonts w:eastAsia="Times New Roman" w:cs="Times New Roman"/>
          <w:szCs w:val="24"/>
        </w:rPr>
        <w:t xml:space="preserve"> when </w:t>
      </w:r>
      <w:r w:rsidR="00ED00C2" w:rsidRPr="00F052B5">
        <w:rPr>
          <w:rFonts w:eastAsia="Times New Roman" w:cs="Times New Roman"/>
          <w:noProof/>
          <w:szCs w:val="24"/>
        </w:rPr>
        <w:t>estimating</w:t>
      </w:r>
      <w:r w:rsidR="00ED00C2">
        <w:rPr>
          <w:rFonts w:eastAsia="Times New Roman" w:cs="Times New Roman"/>
          <w:szCs w:val="24"/>
        </w:rPr>
        <w:t xml:space="preserve"> the stock value when illustrating the effect on the pricing. </w:t>
      </w:r>
      <w:r w:rsidR="005577F7">
        <w:rPr>
          <w:rFonts w:eastAsia="Times New Roman" w:cs="Times New Roman"/>
          <w:szCs w:val="24"/>
        </w:rPr>
        <w:t xml:space="preserve">Using this ratio shows the </w:t>
      </w:r>
      <w:r w:rsidR="005577F7" w:rsidRPr="00F052B5">
        <w:rPr>
          <w:rFonts w:eastAsia="Times New Roman" w:cs="Times New Roman"/>
          <w:noProof/>
          <w:szCs w:val="24"/>
        </w:rPr>
        <w:t>stocks</w:t>
      </w:r>
      <w:r w:rsidR="005577F7">
        <w:rPr>
          <w:rFonts w:eastAsia="Times New Roman" w:cs="Times New Roman"/>
          <w:szCs w:val="24"/>
        </w:rPr>
        <w:t xml:space="preserve"> of T-Mobile and AT&amp;T are overpriced while those </w:t>
      </w:r>
      <w:r w:rsidR="008A4A19">
        <w:rPr>
          <w:rFonts w:eastAsia="Times New Roman" w:cs="Times New Roman"/>
          <w:szCs w:val="24"/>
        </w:rPr>
        <w:t>of Sprint</w:t>
      </w:r>
      <w:r w:rsidR="005577F7">
        <w:rPr>
          <w:rFonts w:eastAsia="Times New Roman" w:cs="Times New Roman"/>
          <w:szCs w:val="24"/>
        </w:rPr>
        <w:t xml:space="preserve"> are underpriced. </w:t>
      </w:r>
      <w:r w:rsidR="008A4A19">
        <w:rPr>
          <w:rFonts w:eastAsia="Times New Roman" w:cs="Times New Roman"/>
          <w:szCs w:val="24"/>
        </w:rPr>
        <w:t xml:space="preserve">Thus, the notion convicted by using the P/E ratio is accuracy in the estimation of the prices of stocks for the companies without taking the payment of dividends into consideration. </w:t>
      </w:r>
    </w:p>
    <w:p w:rsidR="00D2752F" w:rsidRPr="00D97DE8" w:rsidRDefault="00D2752F" w:rsidP="00D97DE8">
      <w:pPr>
        <w:rPr>
          <w:b/>
        </w:rPr>
      </w:pPr>
      <w:r w:rsidRPr="00D97DE8">
        <w:rPr>
          <w:b/>
        </w:rPr>
        <w:t>Increase</w:t>
      </w:r>
    </w:p>
    <w:p w:rsidR="00D2752F" w:rsidRPr="00CA0033" w:rsidRDefault="00D2752F" w:rsidP="00D2752F">
      <w:pPr>
        <w:spacing w:after="0"/>
        <w:rPr>
          <w:rFonts w:eastAsia="Times New Roman" w:cs="Times New Roman"/>
          <w:szCs w:val="24"/>
        </w:rPr>
      </w:pPr>
      <w:r w:rsidRPr="00CA0033">
        <w:rPr>
          <w:rFonts w:eastAsia="Times New Roman" w:cs="Times New Roman"/>
          <w:szCs w:val="24"/>
        </w:rPr>
        <w:tab/>
      </w:r>
      <w:r w:rsidR="00FF07DC">
        <w:rPr>
          <w:rFonts w:eastAsia="Times New Roman" w:cs="Times New Roman"/>
          <w:szCs w:val="24"/>
        </w:rPr>
        <w:t xml:space="preserve">The effect that the stock price estimates have when the variables </w:t>
      </w:r>
      <w:r w:rsidR="00FF07DC" w:rsidRPr="00F052B5">
        <w:rPr>
          <w:rFonts w:eastAsia="Times New Roman" w:cs="Times New Roman"/>
          <w:noProof/>
          <w:szCs w:val="24"/>
        </w:rPr>
        <w:t>are incr</w:t>
      </w:r>
      <w:r w:rsidR="0069685C" w:rsidRPr="00F052B5">
        <w:rPr>
          <w:rFonts w:eastAsia="Times New Roman" w:cs="Times New Roman"/>
          <w:noProof/>
          <w:szCs w:val="24"/>
        </w:rPr>
        <w:t>eased</w:t>
      </w:r>
      <w:r w:rsidR="0069685C">
        <w:rPr>
          <w:rFonts w:eastAsia="Times New Roman" w:cs="Times New Roman"/>
          <w:szCs w:val="24"/>
        </w:rPr>
        <w:t xml:space="preserve"> is dependent on the model of valuation that </w:t>
      </w:r>
      <w:r w:rsidR="0069685C" w:rsidRPr="00F052B5">
        <w:rPr>
          <w:rFonts w:eastAsia="Times New Roman" w:cs="Times New Roman"/>
          <w:noProof/>
          <w:szCs w:val="24"/>
        </w:rPr>
        <w:t>is used</w:t>
      </w:r>
      <w:r w:rsidR="0069685C">
        <w:rPr>
          <w:rFonts w:eastAsia="Times New Roman" w:cs="Times New Roman"/>
          <w:szCs w:val="24"/>
        </w:rPr>
        <w:t xml:space="preserve">. </w:t>
      </w:r>
      <w:r w:rsidR="00401879">
        <w:rPr>
          <w:rFonts w:eastAsia="Times New Roman" w:cs="Times New Roman"/>
          <w:szCs w:val="24"/>
        </w:rPr>
        <w:t xml:space="preserve">The Gordon Model has </w:t>
      </w:r>
      <w:r w:rsidR="00401879" w:rsidRPr="00F052B5">
        <w:rPr>
          <w:rFonts w:eastAsia="Times New Roman" w:cs="Times New Roman"/>
          <w:noProof/>
          <w:szCs w:val="24"/>
        </w:rPr>
        <w:t>a co</w:t>
      </w:r>
      <w:r w:rsidR="00F052B5">
        <w:rPr>
          <w:rFonts w:eastAsia="Times New Roman" w:cs="Times New Roman"/>
          <w:noProof/>
          <w:szCs w:val="24"/>
        </w:rPr>
        <w:t>rresponding</w:t>
      </w:r>
      <w:r w:rsidR="00401879">
        <w:rPr>
          <w:rFonts w:eastAsia="Times New Roman" w:cs="Times New Roman"/>
          <w:szCs w:val="24"/>
        </w:rPr>
        <w:t xml:space="preserve"> increase in the stock price estimate </w:t>
      </w:r>
      <w:r w:rsidR="00401879" w:rsidRPr="00F052B5">
        <w:rPr>
          <w:rFonts w:eastAsia="Times New Roman" w:cs="Times New Roman"/>
          <w:noProof/>
          <w:szCs w:val="24"/>
        </w:rPr>
        <w:t>in</w:t>
      </w:r>
      <w:r w:rsidR="00F052B5">
        <w:rPr>
          <w:rFonts w:eastAsia="Times New Roman" w:cs="Times New Roman"/>
          <w:noProof/>
          <w:szCs w:val="24"/>
        </w:rPr>
        <w:t xml:space="preserve"> </w:t>
      </w:r>
      <w:r w:rsidR="00401879" w:rsidRPr="00F052B5">
        <w:rPr>
          <w:rFonts w:eastAsia="Times New Roman" w:cs="Times New Roman"/>
          <w:noProof/>
          <w:szCs w:val="24"/>
        </w:rPr>
        <w:t>ca</w:t>
      </w:r>
      <w:r w:rsidR="001242EB" w:rsidRPr="00F052B5">
        <w:rPr>
          <w:rFonts w:eastAsia="Times New Roman" w:cs="Times New Roman"/>
          <w:noProof/>
          <w:szCs w:val="24"/>
        </w:rPr>
        <w:t>se</w:t>
      </w:r>
      <w:r w:rsidR="001242EB">
        <w:rPr>
          <w:rFonts w:eastAsia="Times New Roman" w:cs="Times New Roman"/>
          <w:szCs w:val="24"/>
        </w:rPr>
        <w:t xml:space="preserve"> the rate of growth increases; it also has the same effect when the dividends </w:t>
      </w:r>
      <w:r w:rsidR="001242EB" w:rsidRPr="00F052B5">
        <w:rPr>
          <w:rFonts w:eastAsia="Times New Roman" w:cs="Times New Roman"/>
          <w:noProof/>
          <w:szCs w:val="24"/>
        </w:rPr>
        <w:t>are in</w:t>
      </w:r>
      <w:r w:rsidR="001B5AA0" w:rsidRPr="00F052B5">
        <w:rPr>
          <w:rFonts w:eastAsia="Times New Roman" w:cs="Times New Roman"/>
          <w:noProof/>
          <w:szCs w:val="24"/>
        </w:rPr>
        <w:t>creased</w:t>
      </w:r>
      <w:r w:rsidR="001B5AA0">
        <w:rPr>
          <w:rFonts w:eastAsia="Times New Roman" w:cs="Times New Roman"/>
          <w:szCs w:val="24"/>
        </w:rPr>
        <w:t xml:space="preserve">; the only difference in the effect </w:t>
      </w:r>
      <w:r w:rsidR="001B5AA0" w:rsidRPr="00F052B5">
        <w:rPr>
          <w:rFonts w:eastAsia="Times New Roman" w:cs="Times New Roman"/>
          <w:noProof/>
          <w:szCs w:val="24"/>
        </w:rPr>
        <w:t>is produced</w:t>
      </w:r>
      <w:r w:rsidR="001B5AA0">
        <w:rPr>
          <w:rFonts w:eastAsia="Times New Roman" w:cs="Times New Roman"/>
          <w:szCs w:val="24"/>
        </w:rPr>
        <w:t xml:space="preserve"> by a reduction </w:t>
      </w:r>
      <w:r w:rsidR="00F052B5">
        <w:rPr>
          <w:rFonts w:eastAsia="Times New Roman" w:cs="Times New Roman"/>
          <w:noProof/>
          <w:szCs w:val="24"/>
        </w:rPr>
        <w:t>i</w:t>
      </w:r>
      <w:r w:rsidR="001B5AA0" w:rsidRPr="00F052B5">
        <w:rPr>
          <w:rFonts w:eastAsia="Times New Roman" w:cs="Times New Roman"/>
          <w:noProof/>
          <w:szCs w:val="24"/>
        </w:rPr>
        <w:t>n</w:t>
      </w:r>
      <w:r w:rsidR="001B5AA0">
        <w:rPr>
          <w:rFonts w:eastAsia="Times New Roman" w:cs="Times New Roman"/>
          <w:szCs w:val="24"/>
        </w:rPr>
        <w:t xml:space="preserve"> the rate of return required. </w:t>
      </w:r>
      <w:r w:rsidR="004149A4">
        <w:rPr>
          <w:rFonts w:eastAsia="Times New Roman" w:cs="Times New Roman"/>
          <w:szCs w:val="24"/>
        </w:rPr>
        <w:t>The stock price estimated using the price-to-earnings ratio</w:t>
      </w:r>
      <w:r w:rsidR="00B66E11">
        <w:rPr>
          <w:rFonts w:eastAsia="Times New Roman" w:cs="Times New Roman"/>
          <w:szCs w:val="24"/>
        </w:rPr>
        <w:t xml:space="preserve"> increases with an increase in the estimates of earnings per share. </w:t>
      </w:r>
    </w:p>
    <w:p w:rsidR="00D2752F" w:rsidRPr="00D97DE8" w:rsidRDefault="00D2752F" w:rsidP="00D97DE8">
      <w:pPr>
        <w:rPr>
          <w:b/>
        </w:rPr>
      </w:pPr>
      <w:r w:rsidRPr="00D97DE8">
        <w:rPr>
          <w:b/>
        </w:rPr>
        <w:t>Decrease</w:t>
      </w:r>
    </w:p>
    <w:p w:rsidR="00D97DE8" w:rsidRDefault="00D2752F" w:rsidP="00D97DE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CA0033">
        <w:rPr>
          <w:rFonts w:eastAsia="Times New Roman" w:cs="Times New Roman"/>
          <w:szCs w:val="24"/>
        </w:rPr>
        <w:tab/>
      </w:r>
      <w:r w:rsidR="00543D14">
        <w:rPr>
          <w:rFonts w:eastAsia="Times New Roman" w:cs="Times New Roman"/>
          <w:szCs w:val="24"/>
        </w:rPr>
        <w:t xml:space="preserve">Just like in with the increase, change is experienced when the other variables </w:t>
      </w:r>
      <w:r w:rsidR="00543D14" w:rsidRPr="00F052B5">
        <w:rPr>
          <w:rFonts w:eastAsia="Times New Roman" w:cs="Times New Roman"/>
          <w:noProof/>
          <w:szCs w:val="24"/>
        </w:rPr>
        <w:t>are decreased</w:t>
      </w:r>
      <w:r w:rsidR="00543D14">
        <w:rPr>
          <w:rFonts w:eastAsia="Times New Roman" w:cs="Times New Roman"/>
          <w:szCs w:val="24"/>
        </w:rPr>
        <w:t xml:space="preserve"> but is highly dependent on the model used for valuation of the stock price</w:t>
      </w:r>
      <w:r w:rsidRPr="00CA0033">
        <w:rPr>
          <w:rFonts w:eastAsia="Times New Roman" w:cs="Times New Roman"/>
          <w:szCs w:val="24"/>
        </w:rPr>
        <w:t xml:space="preserve">. </w:t>
      </w:r>
      <w:r w:rsidR="00906D45">
        <w:rPr>
          <w:rFonts w:eastAsia="Times New Roman" w:cs="Times New Roman"/>
          <w:szCs w:val="24"/>
        </w:rPr>
        <w:t xml:space="preserve">A </w:t>
      </w:r>
      <w:r w:rsidR="00906D45" w:rsidRPr="00F052B5">
        <w:rPr>
          <w:rFonts w:eastAsia="Times New Roman" w:cs="Times New Roman"/>
          <w:noProof/>
          <w:szCs w:val="24"/>
        </w:rPr>
        <w:t>dec</w:t>
      </w:r>
      <w:r w:rsidR="00F052B5">
        <w:rPr>
          <w:rFonts w:eastAsia="Times New Roman" w:cs="Times New Roman"/>
          <w:noProof/>
          <w:szCs w:val="24"/>
        </w:rPr>
        <w:t>lin</w:t>
      </w:r>
      <w:r w:rsidR="00906D45" w:rsidRPr="00F052B5">
        <w:rPr>
          <w:rFonts w:eastAsia="Times New Roman" w:cs="Times New Roman"/>
          <w:noProof/>
          <w:szCs w:val="24"/>
        </w:rPr>
        <w:t>e</w:t>
      </w:r>
      <w:r w:rsidR="00906D45">
        <w:rPr>
          <w:rFonts w:eastAsia="Times New Roman" w:cs="Times New Roman"/>
          <w:szCs w:val="24"/>
        </w:rPr>
        <w:t xml:space="preserve"> in the rate of growth causes </w:t>
      </w:r>
      <w:r w:rsidR="00906D45" w:rsidRPr="00F052B5">
        <w:rPr>
          <w:rFonts w:eastAsia="Times New Roman" w:cs="Times New Roman"/>
          <w:noProof/>
          <w:szCs w:val="24"/>
        </w:rPr>
        <w:t>a d</w:t>
      </w:r>
      <w:r w:rsidR="00F052B5">
        <w:rPr>
          <w:rFonts w:eastAsia="Times New Roman" w:cs="Times New Roman"/>
          <w:noProof/>
          <w:szCs w:val="24"/>
        </w:rPr>
        <w:t>rop</w:t>
      </w:r>
      <w:r w:rsidR="00906D45" w:rsidRPr="00F052B5">
        <w:rPr>
          <w:rFonts w:eastAsia="Times New Roman" w:cs="Times New Roman"/>
          <w:noProof/>
          <w:szCs w:val="24"/>
        </w:rPr>
        <w:t xml:space="preserve"> in the</w:t>
      </w:r>
      <w:r w:rsidR="00906D45">
        <w:rPr>
          <w:rFonts w:eastAsia="Times New Roman" w:cs="Times New Roman"/>
          <w:szCs w:val="24"/>
        </w:rPr>
        <w:t xml:space="preserve"> stock price estimate when the Gordon Model </w:t>
      </w:r>
      <w:r w:rsidR="00906D45" w:rsidRPr="00F052B5">
        <w:rPr>
          <w:rFonts w:eastAsia="Times New Roman" w:cs="Times New Roman"/>
          <w:noProof/>
          <w:szCs w:val="24"/>
        </w:rPr>
        <w:t>is used</w:t>
      </w:r>
      <w:r w:rsidR="00F052B5" w:rsidRPr="00F052B5">
        <w:rPr>
          <w:rFonts w:eastAsia="Times New Roman" w:cs="Times New Roman"/>
          <w:noProof/>
          <w:szCs w:val="24"/>
        </w:rPr>
        <w:t>;</w:t>
      </w:r>
      <w:r w:rsidR="00F052B5">
        <w:rPr>
          <w:rFonts w:eastAsia="Times New Roman" w:cs="Times New Roman"/>
          <w:noProof/>
          <w:szCs w:val="24"/>
        </w:rPr>
        <w:t xml:space="preserve"> a</w:t>
      </w:r>
      <w:r w:rsidR="00906D45" w:rsidRPr="00F052B5">
        <w:rPr>
          <w:rFonts w:eastAsia="Times New Roman" w:cs="Times New Roman"/>
          <w:noProof/>
          <w:szCs w:val="24"/>
        </w:rPr>
        <w:t xml:space="preserve"> </w:t>
      </w:r>
      <w:r w:rsidR="006F5000" w:rsidRPr="00F052B5">
        <w:rPr>
          <w:rFonts w:eastAsia="Times New Roman" w:cs="Times New Roman"/>
          <w:noProof/>
          <w:szCs w:val="24"/>
        </w:rPr>
        <w:t>similar</w:t>
      </w:r>
      <w:r w:rsidR="006F5000">
        <w:rPr>
          <w:rFonts w:eastAsia="Times New Roman" w:cs="Times New Roman"/>
          <w:szCs w:val="24"/>
        </w:rPr>
        <w:t xml:space="preserve"> effect </w:t>
      </w:r>
      <w:r w:rsidR="006F5000" w:rsidRPr="00F052B5">
        <w:rPr>
          <w:rFonts w:eastAsia="Times New Roman" w:cs="Times New Roman"/>
          <w:noProof/>
          <w:szCs w:val="24"/>
        </w:rPr>
        <w:t>is produced</w:t>
      </w:r>
      <w:r w:rsidR="006F5000">
        <w:rPr>
          <w:rFonts w:eastAsia="Times New Roman" w:cs="Times New Roman"/>
          <w:szCs w:val="24"/>
        </w:rPr>
        <w:t xml:space="preserve"> wh</w:t>
      </w:r>
      <w:r w:rsidR="00861943">
        <w:rPr>
          <w:rFonts w:eastAsia="Times New Roman" w:cs="Times New Roman"/>
          <w:szCs w:val="24"/>
        </w:rPr>
        <w:t xml:space="preserve">en the dividends </w:t>
      </w:r>
      <w:r w:rsidR="00861943" w:rsidRPr="00F052B5">
        <w:rPr>
          <w:rFonts w:eastAsia="Times New Roman" w:cs="Times New Roman"/>
          <w:noProof/>
          <w:szCs w:val="24"/>
        </w:rPr>
        <w:t>are decreased</w:t>
      </w:r>
      <w:r w:rsidR="00861943">
        <w:rPr>
          <w:rFonts w:eastAsia="Times New Roman" w:cs="Times New Roman"/>
          <w:szCs w:val="24"/>
        </w:rPr>
        <w:t xml:space="preserve">; the difference </w:t>
      </w:r>
      <w:r w:rsidR="00861943" w:rsidRPr="00F052B5">
        <w:rPr>
          <w:rFonts w:eastAsia="Times New Roman" w:cs="Times New Roman"/>
          <w:noProof/>
          <w:szCs w:val="24"/>
        </w:rPr>
        <w:t>is seen</w:t>
      </w:r>
      <w:r w:rsidR="00861943">
        <w:rPr>
          <w:rFonts w:eastAsia="Times New Roman" w:cs="Times New Roman"/>
          <w:szCs w:val="24"/>
        </w:rPr>
        <w:t xml:space="preserve"> when the rate of return that </w:t>
      </w:r>
      <w:r w:rsidR="00861943" w:rsidRPr="00F052B5">
        <w:rPr>
          <w:rFonts w:eastAsia="Times New Roman" w:cs="Times New Roman"/>
          <w:noProof/>
          <w:szCs w:val="24"/>
        </w:rPr>
        <w:t>is require</w:t>
      </w:r>
      <w:r w:rsidR="00F052B5">
        <w:rPr>
          <w:rFonts w:eastAsia="Times New Roman" w:cs="Times New Roman"/>
          <w:noProof/>
          <w:szCs w:val="24"/>
        </w:rPr>
        <w:t>d</w:t>
      </w:r>
      <w:r w:rsidR="00861943">
        <w:rPr>
          <w:rFonts w:eastAsia="Times New Roman" w:cs="Times New Roman"/>
          <w:szCs w:val="24"/>
        </w:rPr>
        <w:t xml:space="preserve"> </w:t>
      </w:r>
      <w:r w:rsidR="00861943" w:rsidRPr="00F052B5">
        <w:rPr>
          <w:rFonts w:eastAsia="Times New Roman" w:cs="Times New Roman"/>
          <w:noProof/>
          <w:szCs w:val="24"/>
        </w:rPr>
        <w:t>is reduced</w:t>
      </w:r>
      <w:r w:rsidR="00861943">
        <w:rPr>
          <w:rFonts w:eastAsia="Times New Roman" w:cs="Times New Roman"/>
          <w:szCs w:val="24"/>
        </w:rPr>
        <w:t xml:space="preserve"> which increases the stock price. </w:t>
      </w:r>
      <w:r w:rsidR="00C41082">
        <w:rPr>
          <w:rFonts w:eastAsia="Times New Roman" w:cs="Times New Roman"/>
          <w:szCs w:val="24"/>
        </w:rPr>
        <w:t xml:space="preserve">When using the price-to-earnings ratio, a decrease the estimates of earnings per share causes a </w:t>
      </w:r>
      <w:r w:rsidR="00C41082" w:rsidRPr="00F052B5">
        <w:rPr>
          <w:rFonts w:eastAsia="Times New Roman" w:cs="Times New Roman"/>
          <w:noProof/>
          <w:szCs w:val="24"/>
        </w:rPr>
        <w:t>decrease</w:t>
      </w:r>
      <w:r w:rsidR="00C41082">
        <w:rPr>
          <w:rFonts w:eastAsia="Times New Roman" w:cs="Times New Roman"/>
          <w:szCs w:val="24"/>
        </w:rPr>
        <w:t xml:space="preserve"> </w:t>
      </w:r>
      <w:r w:rsidR="00F052B5">
        <w:rPr>
          <w:rFonts w:eastAsia="Times New Roman" w:cs="Times New Roman"/>
          <w:noProof/>
          <w:szCs w:val="24"/>
        </w:rPr>
        <w:t>i</w:t>
      </w:r>
      <w:r w:rsidR="00C41082" w:rsidRPr="00F052B5">
        <w:rPr>
          <w:rFonts w:eastAsia="Times New Roman" w:cs="Times New Roman"/>
          <w:noProof/>
          <w:szCs w:val="24"/>
        </w:rPr>
        <w:t>n</w:t>
      </w:r>
      <w:r w:rsidR="00C41082">
        <w:rPr>
          <w:rFonts w:eastAsia="Times New Roman" w:cs="Times New Roman"/>
          <w:szCs w:val="24"/>
        </w:rPr>
        <w:t xml:space="preserve"> the stock price </w:t>
      </w:r>
      <w:r w:rsidR="00C41082" w:rsidRPr="00F052B5">
        <w:rPr>
          <w:rFonts w:eastAsia="Times New Roman" w:cs="Times New Roman"/>
          <w:noProof/>
          <w:szCs w:val="24"/>
        </w:rPr>
        <w:t>estimates</w:t>
      </w:r>
      <w:r w:rsidR="00C41082">
        <w:rPr>
          <w:rFonts w:eastAsia="Times New Roman" w:cs="Times New Roman"/>
          <w:szCs w:val="24"/>
        </w:rPr>
        <w:t xml:space="preserve">. </w:t>
      </w:r>
      <w:r w:rsidR="00777C30">
        <w:rPr>
          <w:rFonts w:eastAsia="Times New Roman" w:cs="Times New Roman"/>
          <w:szCs w:val="24"/>
        </w:rPr>
        <w:t xml:space="preserve">The above inferences </w:t>
      </w:r>
      <w:r w:rsidR="00777C30" w:rsidRPr="00F052B5">
        <w:rPr>
          <w:rFonts w:eastAsia="Times New Roman" w:cs="Times New Roman"/>
          <w:noProof/>
          <w:szCs w:val="24"/>
        </w:rPr>
        <w:t>are seen</w:t>
      </w:r>
      <w:r w:rsidR="00777C30">
        <w:rPr>
          <w:rFonts w:eastAsia="Times New Roman" w:cs="Times New Roman"/>
          <w:szCs w:val="24"/>
        </w:rPr>
        <w:t xml:space="preserve"> when the values are input </w:t>
      </w:r>
      <w:r w:rsidR="00777C30" w:rsidRPr="00F052B5">
        <w:rPr>
          <w:rFonts w:eastAsia="Times New Roman" w:cs="Times New Roman"/>
          <w:noProof/>
          <w:szCs w:val="24"/>
        </w:rPr>
        <w:t>to</w:t>
      </w:r>
      <w:r w:rsidR="00777C30">
        <w:rPr>
          <w:rFonts w:eastAsia="Times New Roman" w:cs="Times New Roman"/>
          <w:szCs w:val="24"/>
        </w:rPr>
        <w:t xml:space="preserve"> the table. </w:t>
      </w:r>
      <w:r w:rsidR="00D97DE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:rsidR="00D97DE8" w:rsidRPr="00147780" w:rsidRDefault="00D97DE8" w:rsidP="00D97DE8">
      <w:pPr>
        <w:jc w:val="center"/>
        <w:rPr>
          <w:b/>
        </w:rPr>
      </w:pPr>
      <w:r w:rsidRPr="00147780">
        <w:rPr>
          <w:b/>
        </w:rPr>
        <w:lastRenderedPageBreak/>
        <w:t>References</w:t>
      </w:r>
    </w:p>
    <w:p w:rsidR="00D97DE8" w:rsidRDefault="00D97DE8" w:rsidP="00D97DE8">
      <w:pPr>
        <w:pStyle w:val="Bibliography"/>
        <w:ind w:left="720" w:hanging="720"/>
        <w:rPr>
          <w:noProof/>
        </w:rPr>
      </w:pPr>
      <w:r>
        <w:rPr>
          <w:noProof/>
        </w:rPr>
        <w:t xml:space="preserve">Editorial Board. (2014). </w:t>
      </w:r>
      <w:r>
        <w:rPr>
          <w:i/>
          <w:iCs/>
          <w:noProof/>
        </w:rPr>
        <w:t>Financial management.</w:t>
      </w:r>
      <w:r>
        <w:rPr>
          <w:noProof/>
        </w:rPr>
        <w:t xml:space="preserve"> </w:t>
      </w:r>
    </w:p>
    <w:p w:rsidR="00D97DE8" w:rsidRDefault="00D97DE8" w:rsidP="00D97DE8">
      <w:pPr>
        <w:pStyle w:val="Bibliography"/>
        <w:ind w:left="720" w:hanging="720"/>
        <w:rPr>
          <w:noProof/>
        </w:rPr>
      </w:pPr>
      <w:r>
        <w:rPr>
          <w:noProof/>
        </w:rPr>
        <w:t xml:space="preserve">Financial Education. (2017, January 24). </w:t>
      </w:r>
      <w:r>
        <w:rPr>
          <w:i/>
          <w:iCs/>
          <w:noProof/>
        </w:rPr>
        <w:t xml:space="preserve">Strengths and Weaknesses of the </w:t>
      </w:r>
      <w:r w:rsidRPr="0075131D">
        <w:rPr>
          <w:i/>
          <w:iCs/>
          <w:noProof/>
        </w:rPr>
        <w:t>Gordon</w:t>
      </w:r>
      <w:r>
        <w:rPr>
          <w:i/>
          <w:iCs/>
          <w:noProof/>
        </w:rPr>
        <w:t xml:space="preserve"> Growth Model.</w:t>
      </w:r>
      <w:r>
        <w:rPr>
          <w:noProof/>
        </w:rPr>
        <w:t xml:space="preserve"> Retrieved from Financialeducation.com: http://financialeducation.com/2017/01/24/strengths-and-weaknesses-of-the-gordon-growth-model/ </w:t>
      </w:r>
    </w:p>
    <w:p w:rsidR="00D97DE8" w:rsidRPr="00FE44D3" w:rsidRDefault="00D97DE8" w:rsidP="00D97DE8">
      <w:pPr>
        <w:ind w:left="720" w:hanging="720"/>
      </w:pPr>
      <w:r>
        <w:rPr>
          <w:noProof/>
        </w:rPr>
        <w:t xml:space="preserve">Higgins, R. C. (2012). </w:t>
      </w:r>
      <w:r w:rsidRPr="00F052B5">
        <w:rPr>
          <w:i/>
          <w:iCs/>
          <w:noProof/>
        </w:rPr>
        <w:t>Analysis</w:t>
      </w:r>
      <w:r>
        <w:rPr>
          <w:i/>
          <w:iCs/>
          <w:noProof/>
        </w:rPr>
        <w:t xml:space="preserve"> for financial management.</w:t>
      </w:r>
      <w:r>
        <w:rPr>
          <w:noProof/>
        </w:rPr>
        <w:t xml:space="preserve"> New York, </w:t>
      </w:r>
      <w:r w:rsidRPr="0075131D">
        <w:rPr>
          <w:noProof/>
        </w:rPr>
        <w:t>NY::</w:t>
      </w:r>
      <w:r>
        <w:rPr>
          <w:noProof/>
        </w:rPr>
        <w:t xml:space="preserve"> </w:t>
      </w:r>
      <w:r w:rsidRPr="0075131D">
        <w:rPr>
          <w:noProof/>
        </w:rPr>
        <w:t>McGraw</w:t>
      </w:r>
      <w:r>
        <w:rPr>
          <w:noProof/>
        </w:rPr>
        <w:t>-</w:t>
      </w:r>
      <w:r w:rsidRPr="0075131D">
        <w:rPr>
          <w:noProof/>
        </w:rPr>
        <w:t>Hill</w:t>
      </w:r>
      <w:r>
        <w:rPr>
          <w:noProof/>
        </w:rPr>
        <w:t xml:space="preserve"> Irwin.</w:t>
      </w:r>
    </w:p>
    <w:p w:rsidR="00E2356D" w:rsidRPr="00FE44D3" w:rsidRDefault="00E2356D" w:rsidP="00D97DE8">
      <w:pPr>
        <w:spacing w:after="0"/>
        <w:rPr>
          <w:rFonts w:eastAsia="Times New Roman" w:cs="Times New Roman"/>
          <w:szCs w:val="24"/>
        </w:rPr>
      </w:pPr>
    </w:p>
    <w:sectPr w:rsidR="00E2356D" w:rsidRPr="00FE44D3" w:rsidSect="0030631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25" w:rsidRDefault="00322F25" w:rsidP="00306313">
      <w:pPr>
        <w:spacing w:after="0" w:line="240" w:lineRule="auto"/>
      </w:pPr>
      <w:r>
        <w:separator/>
      </w:r>
    </w:p>
  </w:endnote>
  <w:endnote w:type="continuationSeparator" w:id="0">
    <w:p w:rsidR="00322F25" w:rsidRDefault="00322F25" w:rsidP="0030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25" w:rsidRDefault="00322F25" w:rsidP="00306313">
      <w:pPr>
        <w:spacing w:after="0" w:line="240" w:lineRule="auto"/>
      </w:pPr>
      <w:r>
        <w:separator/>
      </w:r>
    </w:p>
  </w:footnote>
  <w:footnote w:type="continuationSeparator" w:id="0">
    <w:p w:rsidR="00322F25" w:rsidRDefault="00322F25" w:rsidP="0030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0968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6313" w:rsidRDefault="003063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D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6313" w:rsidRDefault="00306313">
    <w:pPr>
      <w:pStyle w:val="Header"/>
    </w:pPr>
    <w:r>
      <w:rPr>
        <w:rFonts w:cs="Times New Roman"/>
        <w:szCs w:val="24"/>
      </w:rPr>
      <w:t>VALUATION OF FINANCIAL INSTRUMENTS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63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6313" w:rsidRDefault="003063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6313" w:rsidRPr="00306313" w:rsidRDefault="00306313">
    <w:pPr>
      <w:pStyle w:val="Header"/>
      <w:rPr>
        <w:rFonts w:cs="Times New Roman"/>
        <w:szCs w:val="24"/>
      </w:rPr>
    </w:pPr>
    <w:r>
      <w:rPr>
        <w:rFonts w:cs="Times New Roman"/>
        <w:szCs w:val="24"/>
      </w:rPr>
      <w:t>Running head: VALUATION OF FINANCIAL INSTRUMENTS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7D78"/>
    <w:multiLevelType w:val="multilevel"/>
    <w:tmpl w:val="579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A2E9B"/>
    <w:multiLevelType w:val="multilevel"/>
    <w:tmpl w:val="3B5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rQwNDW1NLGwNDI1MDdW0lEKTi0uzszPAykwrAUAGnkGRSwAAAA="/>
  </w:docVars>
  <w:rsids>
    <w:rsidRoot w:val="00D2752F"/>
    <w:rsid w:val="00025AE6"/>
    <w:rsid w:val="0003568D"/>
    <w:rsid w:val="0004046C"/>
    <w:rsid w:val="00096589"/>
    <w:rsid w:val="000D762D"/>
    <w:rsid w:val="001242EB"/>
    <w:rsid w:val="00190C28"/>
    <w:rsid w:val="001B5AA0"/>
    <w:rsid w:val="001C025A"/>
    <w:rsid w:val="00262B36"/>
    <w:rsid w:val="002A3F44"/>
    <w:rsid w:val="002E30ED"/>
    <w:rsid w:val="00306313"/>
    <w:rsid w:val="00322F25"/>
    <w:rsid w:val="00366978"/>
    <w:rsid w:val="00401879"/>
    <w:rsid w:val="00401DCA"/>
    <w:rsid w:val="00403A9A"/>
    <w:rsid w:val="004149A4"/>
    <w:rsid w:val="00461FD5"/>
    <w:rsid w:val="004801B9"/>
    <w:rsid w:val="004B1054"/>
    <w:rsid w:val="004B42B5"/>
    <w:rsid w:val="004C66CE"/>
    <w:rsid w:val="005175D0"/>
    <w:rsid w:val="00543D14"/>
    <w:rsid w:val="005577F7"/>
    <w:rsid w:val="005E6142"/>
    <w:rsid w:val="006246BE"/>
    <w:rsid w:val="00690A76"/>
    <w:rsid w:val="006919DC"/>
    <w:rsid w:val="00695799"/>
    <w:rsid w:val="0069685C"/>
    <w:rsid w:val="006A1591"/>
    <w:rsid w:val="006F5000"/>
    <w:rsid w:val="006F7F95"/>
    <w:rsid w:val="00726DA0"/>
    <w:rsid w:val="00777C30"/>
    <w:rsid w:val="00787B35"/>
    <w:rsid w:val="00811401"/>
    <w:rsid w:val="00861943"/>
    <w:rsid w:val="00866CB4"/>
    <w:rsid w:val="008A4A19"/>
    <w:rsid w:val="008B062F"/>
    <w:rsid w:val="00906D45"/>
    <w:rsid w:val="00935048"/>
    <w:rsid w:val="0095625E"/>
    <w:rsid w:val="00962E49"/>
    <w:rsid w:val="009B0551"/>
    <w:rsid w:val="009D3F98"/>
    <w:rsid w:val="00A06297"/>
    <w:rsid w:val="00A769D6"/>
    <w:rsid w:val="00A77B64"/>
    <w:rsid w:val="00A8776D"/>
    <w:rsid w:val="00AA2709"/>
    <w:rsid w:val="00B66E11"/>
    <w:rsid w:val="00B943EF"/>
    <w:rsid w:val="00BD7F30"/>
    <w:rsid w:val="00C41082"/>
    <w:rsid w:val="00C700C5"/>
    <w:rsid w:val="00C737B8"/>
    <w:rsid w:val="00D10A2B"/>
    <w:rsid w:val="00D22127"/>
    <w:rsid w:val="00D2752F"/>
    <w:rsid w:val="00D41F0A"/>
    <w:rsid w:val="00D71B19"/>
    <w:rsid w:val="00D9346E"/>
    <w:rsid w:val="00D97DE8"/>
    <w:rsid w:val="00DE38C8"/>
    <w:rsid w:val="00E138A5"/>
    <w:rsid w:val="00E2356D"/>
    <w:rsid w:val="00E32D0B"/>
    <w:rsid w:val="00E47FB7"/>
    <w:rsid w:val="00E76DDD"/>
    <w:rsid w:val="00E77CCF"/>
    <w:rsid w:val="00E86C1C"/>
    <w:rsid w:val="00E976B8"/>
    <w:rsid w:val="00EA78D0"/>
    <w:rsid w:val="00ED00C2"/>
    <w:rsid w:val="00F052B5"/>
    <w:rsid w:val="00FB4B30"/>
    <w:rsid w:val="00FB625E"/>
    <w:rsid w:val="00FE44D3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AD646-8638-4870-B532-5D943C48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19DC"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56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752F"/>
    <w:rPr>
      <w:b/>
      <w:bCs/>
    </w:rPr>
  </w:style>
  <w:style w:type="table" w:styleId="TableGrid">
    <w:name w:val="Table Grid"/>
    <w:basedOn w:val="TableNormal"/>
    <w:uiPriority w:val="39"/>
    <w:rsid w:val="00AA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13"/>
  </w:style>
  <w:style w:type="paragraph" w:styleId="Footer">
    <w:name w:val="footer"/>
    <w:basedOn w:val="Normal"/>
    <w:link w:val="FooterChar"/>
    <w:uiPriority w:val="99"/>
    <w:unhideWhenUsed/>
    <w:rsid w:val="0030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13"/>
  </w:style>
  <w:style w:type="character" w:customStyle="1" w:styleId="Heading1Char">
    <w:name w:val="Heading 1 Char"/>
    <w:basedOn w:val="DefaultParagraphFont"/>
    <w:link w:val="Heading1"/>
    <w:uiPriority w:val="9"/>
    <w:rsid w:val="00E23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E2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Hig12</b:Tag>
    <b:SourceType>Book</b:SourceType>
    <b:Guid>{41951B20-679F-40A3-B079-EDD5205AD745}</b:Guid>
    <b:Title>Analysis for financial management</b:Title>
    <b:Year>2012</b:Year>
    <b:City> New York, NY: </b:City>
    <b:Publisher>McGraw Hill Irwin</b:Publisher>
    <b:Author>
      <b:Author>
        <b:NameList>
          <b:Person>
            <b:Last>Higgins</b:Last>
            <b:Middle>C</b:Middle>
            <b:First>R</b:First>
          </b:Person>
        </b:NameList>
      </b:Author>
    </b:Author>
    <b:RefOrder>1</b:RefOrder>
  </b:Source>
  <b:Source>
    <b:Tag>Edi14</b:Tag>
    <b:SourceType>Report</b:SourceType>
    <b:Guid>{8E8BEF0E-339B-46D9-A2E0-25F3AD88E977}</b:Guid>
    <b:Title>Financial management</b:Title>
    <b:Year>2014</b:Year>
    <b:Author>
      <b:Author>
        <b:NameList>
          <b:Person>
            <b:Last>Editorial Board</b:Last>
          </b:Person>
        </b:NameList>
      </b:Author>
    </b:Author>
    <b:RefOrder>2</b:RefOrder>
  </b:Source>
  <b:Source>
    <b:Tag>fin17</b:Tag>
    <b:SourceType>DocumentFromInternetSite</b:SourceType>
    <b:Guid>{E21ADD82-EDC1-4CEF-B770-57C2E9BC6051}</b:Guid>
    <b:Title>Strengths and weaknesses of the gordon growth model</b:Title>
    <b:Year>2017</b:Year>
    <b:InternetSiteTitle>financialeducation.com</b:InternetSiteTitle>
    <b:Month>January</b:Month>
    <b:Day>24</b:Day>
    <b:URL> http://financialeducation.com/2017/01/24/strengths-and-weaknesses-of-the-gordon-growth-model/ </b:URL>
    <b:Author>
      <b:Author>
        <b:NameList>
          <b:Person>
            <b:Last>financial education</b:La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37472D85-777A-45DF-BE7B-7F00E9A7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Lefmann</dc:creator>
  <cp:keywords/>
  <dc:description/>
  <cp:lastModifiedBy>Candiss Brown</cp:lastModifiedBy>
  <cp:revision>2</cp:revision>
  <cp:lastPrinted>2017-01-24T10:45:00Z</cp:lastPrinted>
  <dcterms:created xsi:type="dcterms:W3CDTF">2017-02-05T12:30:00Z</dcterms:created>
  <dcterms:modified xsi:type="dcterms:W3CDTF">2017-02-05T12:30:00Z</dcterms:modified>
</cp:coreProperties>
</file>