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44F" w:rsidRPr="00C7644F" w:rsidRDefault="00C7644F" w:rsidP="00C7644F">
      <w:pPr>
        <w:jc w:val="center"/>
        <w:rPr>
          <w:rFonts w:ascii="Verdana" w:hAnsi="Verdana"/>
          <w:b/>
          <w:sz w:val="20"/>
          <w:szCs w:val="20"/>
        </w:rPr>
      </w:pPr>
      <w:r w:rsidRPr="00C7644F">
        <w:rPr>
          <w:rFonts w:ascii="Verdana" w:hAnsi="Verdana"/>
          <w:b/>
          <w:sz w:val="20"/>
          <w:szCs w:val="20"/>
        </w:rPr>
        <w:t>Managing “Going Viral” –</w:t>
      </w:r>
    </w:p>
    <w:p w:rsidR="00C7644F" w:rsidRDefault="00C7644F" w:rsidP="00C7644F">
      <w:pPr>
        <w:pBdr>
          <w:bottom w:val="single" w:sz="6" w:space="1" w:color="auto"/>
        </w:pBdr>
        <w:jc w:val="center"/>
        <w:rPr>
          <w:rFonts w:ascii="Verdana" w:hAnsi="Verdana"/>
          <w:b/>
          <w:sz w:val="20"/>
          <w:szCs w:val="20"/>
        </w:rPr>
      </w:pPr>
      <w:r w:rsidRPr="00C7644F">
        <w:rPr>
          <w:rFonts w:ascii="Verdana" w:hAnsi="Verdana"/>
          <w:b/>
          <w:sz w:val="20"/>
          <w:szCs w:val="20"/>
        </w:rPr>
        <w:t>A Strategic Understanding of the Social Environment of Business</w:t>
      </w:r>
    </w:p>
    <w:p w:rsidR="00C7644F" w:rsidRPr="00C7644F" w:rsidRDefault="00C7644F" w:rsidP="00C7644F">
      <w:pPr>
        <w:pBdr>
          <w:bottom w:val="single" w:sz="6" w:space="1" w:color="auto"/>
        </w:pBdr>
        <w:jc w:val="center"/>
        <w:rPr>
          <w:rFonts w:ascii="Verdana" w:hAnsi="Verdana"/>
          <w:sz w:val="16"/>
          <w:szCs w:val="16"/>
        </w:rPr>
      </w:pPr>
      <w:r w:rsidRPr="00C7644F">
        <w:rPr>
          <w:rFonts w:ascii="Verdana" w:hAnsi="Verdana"/>
          <w:sz w:val="16"/>
          <w:szCs w:val="16"/>
        </w:rPr>
        <w:t>Ray Jones, Ph.D. – University of Pittsburgh</w:t>
      </w:r>
      <w:r w:rsidR="005A311E">
        <w:rPr>
          <w:rFonts w:ascii="Verdana" w:hAnsi="Verdana"/>
          <w:sz w:val="16"/>
          <w:szCs w:val="16"/>
        </w:rPr>
        <w:t xml:space="preserve"> – January 2012</w:t>
      </w:r>
    </w:p>
    <w:p w:rsidR="00B5424A" w:rsidRDefault="00B5424A" w:rsidP="00F95C83">
      <w:pPr>
        <w:rPr>
          <w:rFonts w:ascii="Verdana" w:hAnsi="Verdana"/>
          <w:sz w:val="20"/>
          <w:szCs w:val="20"/>
        </w:rPr>
      </w:pPr>
      <w:r>
        <w:rPr>
          <w:rFonts w:ascii="Verdana" w:hAnsi="Verdana"/>
          <w:sz w:val="20"/>
          <w:szCs w:val="20"/>
        </w:rPr>
        <w:t xml:space="preserve">The basic assumption behind the social environment of business is that business can affect and be affected by </w:t>
      </w:r>
      <w:r w:rsidRPr="00B5424A">
        <w:rPr>
          <w:rFonts w:ascii="Verdana" w:hAnsi="Verdana"/>
          <w:sz w:val="20"/>
          <w:szCs w:val="20"/>
          <w:u w:val="single"/>
        </w:rPr>
        <w:t>anything</w:t>
      </w:r>
      <w:r>
        <w:rPr>
          <w:rFonts w:ascii="Verdana" w:hAnsi="Verdana"/>
          <w:sz w:val="20"/>
          <w:szCs w:val="20"/>
        </w:rPr>
        <w:t>.  Business has a profound impact on individuals (employees, customers), organizations (competitors, suppliers, clients) and institutions (communities, government actors, non-profit organizations) throughout society.  In a similar vein, business activities are shaped by the demands, interests and preferences of individuals, organizations and institutions all throughout society.  The basic activities of business in converting inputs to outputs via the production and distribution of goods and services are shaped by individual tastes, interactions with influential organizations and external stakeholders which have their own agendas and interests.</w:t>
      </w:r>
    </w:p>
    <w:p w:rsidR="00B5424A" w:rsidRPr="00B5424A" w:rsidRDefault="00B5424A" w:rsidP="00F95C83">
      <w:pPr>
        <w:rPr>
          <w:rFonts w:ascii="Verdana" w:hAnsi="Verdana"/>
          <w:b/>
          <w:sz w:val="20"/>
          <w:szCs w:val="20"/>
        </w:rPr>
      </w:pPr>
      <w:r w:rsidRPr="00B5424A">
        <w:rPr>
          <w:rFonts w:ascii="Verdana" w:hAnsi="Verdana"/>
          <w:b/>
          <w:sz w:val="20"/>
          <w:szCs w:val="20"/>
        </w:rPr>
        <w:t>Going Viral – The Influence of the Social Environment</w:t>
      </w:r>
    </w:p>
    <w:p w:rsidR="003127D5" w:rsidRDefault="00B5424A" w:rsidP="00F95C83">
      <w:pPr>
        <w:rPr>
          <w:rFonts w:ascii="Verdana" w:hAnsi="Verdana"/>
          <w:sz w:val="20"/>
          <w:szCs w:val="20"/>
        </w:rPr>
      </w:pPr>
      <w:r>
        <w:rPr>
          <w:rFonts w:ascii="Verdana" w:hAnsi="Verdana"/>
          <w:sz w:val="20"/>
          <w:szCs w:val="20"/>
        </w:rPr>
        <w:t xml:space="preserve">The popular term “going viral” is one of the best examples of the influence of the social environment of business.  </w:t>
      </w:r>
      <w:r w:rsidR="003127D5">
        <w:rPr>
          <w:rFonts w:ascii="Verdana" w:hAnsi="Verdana"/>
          <w:sz w:val="20"/>
          <w:szCs w:val="20"/>
        </w:rPr>
        <w:t>The word “viral”</w:t>
      </w:r>
      <w:r>
        <w:rPr>
          <w:rFonts w:ascii="Verdana" w:hAnsi="Verdana"/>
          <w:sz w:val="20"/>
          <w:szCs w:val="20"/>
        </w:rPr>
        <w:t xml:space="preserve"> has become one of the most popular terms of the internet age, as there have been numerous examples of artifacts (everyth</w:t>
      </w:r>
      <w:r w:rsidR="003B1614">
        <w:rPr>
          <w:rFonts w:ascii="Verdana" w:hAnsi="Verdana"/>
          <w:sz w:val="20"/>
          <w:szCs w:val="20"/>
        </w:rPr>
        <w:t>ing from messages, videos</w:t>
      </w:r>
      <w:r>
        <w:rPr>
          <w:rFonts w:ascii="Verdana" w:hAnsi="Verdana"/>
          <w:sz w:val="20"/>
          <w:szCs w:val="20"/>
        </w:rPr>
        <w:t>, products, services and even business models) that have essentially taken on a life of their own – spreading rapidly and generating a great deal of attention and hype.  Beyond the hype and attention, the individuals and organizations connected to an artifact that has “gone viral” have generated huge financial windfalls and sometimes even significant co</w:t>
      </w:r>
      <w:r w:rsidR="00B44751">
        <w:rPr>
          <w:rFonts w:ascii="Verdana" w:hAnsi="Verdana"/>
          <w:sz w:val="20"/>
          <w:szCs w:val="20"/>
        </w:rPr>
        <w:t xml:space="preserve">mpetitive advantages.  </w:t>
      </w:r>
    </w:p>
    <w:p w:rsidR="003127D5" w:rsidRDefault="00B44751" w:rsidP="00F95C83">
      <w:pPr>
        <w:rPr>
          <w:rFonts w:ascii="Verdana" w:hAnsi="Verdana"/>
          <w:sz w:val="20"/>
          <w:szCs w:val="20"/>
        </w:rPr>
      </w:pPr>
      <w:r>
        <w:rPr>
          <w:rFonts w:ascii="Verdana" w:hAnsi="Verdana"/>
          <w:sz w:val="20"/>
          <w:szCs w:val="20"/>
        </w:rPr>
        <w:t xml:space="preserve">While the idea of “going viral” is exciting and potentially-lucrative, the term has fallen out of favor recently.  In December of 2010, </w:t>
      </w:r>
      <w:r w:rsidR="003127D5">
        <w:rPr>
          <w:rFonts w:ascii="Verdana" w:hAnsi="Verdana"/>
          <w:sz w:val="20"/>
          <w:szCs w:val="20"/>
        </w:rPr>
        <w:t>Lake Su</w:t>
      </w:r>
      <w:r>
        <w:rPr>
          <w:rFonts w:ascii="Verdana" w:hAnsi="Verdana"/>
          <w:sz w:val="20"/>
          <w:szCs w:val="20"/>
        </w:rPr>
        <w:t>perior State University released its</w:t>
      </w:r>
      <w:r w:rsidR="003127D5">
        <w:rPr>
          <w:rFonts w:ascii="Verdana" w:hAnsi="Verdana"/>
          <w:sz w:val="20"/>
          <w:szCs w:val="20"/>
        </w:rPr>
        <w:t xml:space="preserve"> annual list of the most overused </w:t>
      </w:r>
      <w:r>
        <w:rPr>
          <w:rFonts w:ascii="Verdana" w:hAnsi="Verdana"/>
          <w:sz w:val="20"/>
          <w:szCs w:val="20"/>
        </w:rPr>
        <w:t>words in the English language, and viral was at the top of the list</w:t>
      </w:r>
      <w:r w:rsidR="003127D5">
        <w:rPr>
          <w:rFonts w:ascii="Verdana" w:hAnsi="Verdana"/>
          <w:sz w:val="20"/>
          <w:szCs w:val="20"/>
        </w:rPr>
        <w:t>.</w:t>
      </w:r>
      <w:r>
        <w:rPr>
          <w:rFonts w:ascii="Verdana" w:hAnsi="Verdana"/>
          <w:sz w:val="20"/>
          <w:szCs w:val="20"/>
        </w:rPr>
        <w:t xml:space="preserve">  </w:t>
      </w:r>
      <w:r w:rsidR="003127D5">
        <w:rPr>
          <w:rFonts w:ascii="Verdana" w:hAnsi="Verdana"/>
          <w:sz w:val="20"/>
          <w:szCs w:val="20"/>
        </w:rPr>
        <w:t>As an executive from YouTube explained, “</w:t>
      </w:r>
      <w:r w:rsidR="003127D5" w:rsidRPr="00C7644F">
        <w:rPr>
          <w:rFonts w:ascii="Verdana" w:hAnsi="Verdana"/>
          <w:i/>
          <w:sz w:val="20"/>
          <w:szCs w:val="20"/>
        </w:rPr>
        <w:t xml:space="preserve">I think most of the time, when people say viral, they mean it’s been heavily shared, it’s been passed around a lot, or anything on the web they will call </w:t>
      </w:r>
      <w:r w:rsidR="00C7644F" w:rsidRPr="00C7644F">
        <w:rPr>
          <w:rFonts w:ascii="Verdana" w:hAnsi="Verdana"/>
          <w:i/>
          <w:sz w:val="20"/>
          <w:szCs w:val="20"/>
        </w:rPr>
        <w:t>viral—but that’s not really viral.  If you’re going to actually look at what the word means, it means spreading like a virus…Just because something has picked up a lot of views or picked up a lot of traffic doesn’t necessarily make it viral</w:t>
      </w:r>
      <w:r w:rsidR="00C7644F">
        <w:rPr>
          <w:rFonts w:ascii="Verdana" w:hAnsi="Verdana"/>
          <w:sz w:val="20"/>
          <w:szCs w:val="20"/>
        </w:rPr>
        <w:t>.”  Viral means something that takes on a life of its own.</w:t>
      </w:r>
    </w:p>
    <w:p w:rsidR="00B44751" w:rsidRPr="00B44751" w:rsidRDefault="00B44751" w:rsidP="00F95C83">
      <w:pPr>
        <w:rPr>
          <w:rFonts w:ascii="Verdana" w:hAnsi="Verdana"/>
          <w:b/>
          <w:sz w:val="20"/>
          <w:szCs w:val="20"/>
        </w:rPr>
      </w:pPr>
      <w:r w:rsidRPr="00B44751">
        <w:rPr>
          <w:rFonts w:ascii="Verdana" w:hAnsi="Verdana"/>
          <w:b/>
          <w:sz w:val="20"/>
          <w:szCs w:val="20"/>
        </w:rPr>
        <w:t>Managing “Going Viral” – Three Distinct, but Inter-Related Components</w:t>
      </w:r>
    </w:p>
    <w:p w:rsidR="00B44751" w:rsidRDefault="00B44751" w:rsidP="00F95C83">
      <w:pPr>
        <w:rPr>
          <w:rFonts w:ascii="Verdana" w:hAnsi="Verdana"/>
          <w:sz w:val="20"/>
          <w:szCs w:val="20"/>
        </w:rPr>
      </w:pPr>
      <w:r>
        <w:rPr>
          <w:rFonts w:ascii="Verdana" w:hAnsi="Verdana"/>
          <w:sz w:val="20"/>
          <w:szCs w:val="20"/>
        </w:rPr>
        <w:t>Following the criticism of th</w:t>
      </w:r>
      <w:r w:rsidR="00CA74C7">
        <w:rPr>
          <w:rFonts w:ascii="Verdana" w:hAnsi="Verdana"/>
          <w:sz w:val="20"/>
          <w:szCs w:val="20"/>
        </w:rPr>
        <w:t xml:space="preserve">e vast amount of hype </w:t>
      </w:r>
      <w:r>
        <w:rPr>
          <w:rFonts w:ascii="Verdana" w:hAnsi="Verdana"/>
          <w:sz w:val="20"/>
          <w:szCs w:val="20"/>
        </w:rPr>
        <w:t>around the term “viral,” the prospect of being able to manage an artifact with the potential to go viral requires some focus on a s</w:t>
      </w:r>
      <w:r w:rsidR="00074D17">
        <w:rPr>
          <w:rFonts w:ascii="Verdana" w:hAnsi="Verdana"/>
          <w:sz w:val="20"/>
          <w:szCs w:val="20"/>
        </w:rPr>
        <w:t xml:space="preserve">pecific definition.  In short, it is possible to identify various patterns through which different artifacts (messages, videos, products, services, </w:t>
      </w:r>
      <w:proofErr w:type="gramStart"/>
      <w:r w:rsidR="00074D17">
        <w:rPr>
          <w:rFonts w:ascii="Verdana" w:hAnsi="Verdana"/>
          <w:sz w:val="20"/>
          <w:szCs w:val="20"/>
        </w:rPr>
        <w:t>business</w:t>
      </w:r>
      <w:proofErr w:type="gramEnd"/>
      <w:r w:rsidR="00074D17">
        <w:rPr>
          <w:rFonts w:ascii="Verdana" w:hAnsi="Verdana"/>
          <w:sz w:val="20"/>
          <w:szCs w:val="20"/>
        </w:rPr>
        <w:t xml:space="preserve"> models) have taken on a life of their own and spread rapidly.  As a means of studying</w:t>
      </w:r>
      <w:r>
        <w:rPr>
          <w:rFonts w:ascii="Verdana" w:hAnsi="Verdana"/>
          <w:sz w:val="20"/>
          <w:szCs w:val="20"/>
        </w:rPr>
        <w:t xml:space="preserve"> the management of the social environment of business, </w:t>
      </w:r>
      <w:r w:rsidRPr="00B44751">
        <w:rPr>
          <w:rFonts w:ascii="Verdana" w:hAnsi="Verdana"/>
          <w:sz w:val="20"/>
          <w:szCs w:val="20"/>
          <w:u w:val="single"/>
        </w:rPr>
        <w:t>the management of “going viral”</w:t>
      </w:r>
      <w:r>
        <w:rPr>
          <w:rFonts w:ascii="Verdana" w:hAnsi="Verdana"/>
          <w:sz w:val="20"/>
          <w:szCs w:val="20"/>
        </w:rPr>
        <w:t xml:space="preserve"> can be centered </w:t>
      </w:r>
      <w:proofErr w:type="gramStart"/>
      <w:r>
        <w:rPr>
          <w:rFonts w:ascii="Verdana" w:hAnsi="Verdana"/>
          <w:sz w:val="20"/>
          <w:szCs w:val="20"/>
        </w:rPr>
        <w:t>around</w:t>
      </w:r>
      <w:proofErr w:type="gramEnd"/>
      <w:r>
        <w:rPr>
          <w:rFonts w:ascii="Verdana" w:hAnsi="Verdana"/>
          <w:sz w:val="20"/>
          <w:szCs w:val="20"/>
        </w:rPr>
        <w:t xml:space="preserve"> a basic definition which has three important components:</w:t>
      </w:r>
    </w:p>
    <w:p w:rsidR="00B44751" w:rsidRDefault="00B44751" w:rsidP="00F95C83">
      <w:pPr>
        <w:rPr>
          <w:rFonts w:ascii="Verdana" w:hAnsi="Verdana"/>
          <w:i/>
          <w:sz w:val="20"/>
          <w:szCs w:val="20"/>
        </w:rPr>
      </w:pPr>
      <w:proofErr w:type="gramStart"/>
      <w:r w:rsidRPr="003B1614">
        <w:rPr>
          <w:rFonts w:ascii="Verdana" w:hAnsi="Verdana"/>
          <w:i/>
          <w:sz w:val="20"/>
          <w:szCs w:val="20"/>
        </w:rPr>
        <w:t>“Addressing an artifact with the potential to spread rapidly due its novelty, value and position in a viable network (or networks)</w:t>
      </w:r>
      <w:r w:rsidR="003B1614" w:rsidRPr="003B1614">
        <w:rPr>
          <w:rFonts w:ascii="Verdana" w:hAnsi="Verdana"/>
          <w:i/>
          <w:sz w:val="20"/>
          <w:szCs w:val="20"/>
        </w:rPr>
        <w:t>.”</w:t>
      </w:r>
      <w:proofErr w:type="gramEnd"/>
    </w:p>
    <w:p w:rsidR="00F95C83" w:rsidRPr="003B1614" w:rsidRDefault="003B1614" w:rsidP="003B1614">
      <w:pPr>
        <w:pStyle w:val="ListParagraph"/>
        <w:numPr>
          <w:ilvl w:val="0"/>
          <w:numId w:val="3"/>
        </w:numPr>
        <w:rPr>
          <w:rFonts w:ascii="Verdana" w:hAnsi="Verdana"/>
          <w:b/>
          <w:sz w:val="20"/>
          <w:szCs w:val="20"/>
        </w:rPr>
      </w:pPr>
      <w:r w:rsidRPr="003B1614">
        <w:rPr>
          <w:rFonts w:ascii="Verdana" w:hAnsi="Verdana"/>
          <w:b/>
          <w:sz w:val="20"/>
          <w:szCs w:val="20"/>
        </w:rPr>
        <w:lastRenderedPageBreak/>
        <w:t>Novelty</w:t>
      </w:r>
    </w:p>
    <w:p w:rsidR="00C7644F" w:rsidRDefault="003B1614" w:rsidP="003B1614">
      <w:pPr>
        <w:ind w:left="720"/>
        <w:rPr>
          <w:rFonts w:ascii="Verdana" w:hAnsi="Verdana"/>
          <w:sz w:val="20"/>
          <w:szCs w:val="20"/>
        </w:rPr>
      </w:pPr>
      <w:r>
        <w:rPr>
          <w:rFonts w:ascii="Verdana" w:hAnsi="Verdana"/>
          <w:sz w:val="20"/>
          <w:szCs w:val="20"/>
        </w:rPr>
        <w:t>One of the most interesting developments of the internet age is how a wide range of ar</w:t>
      </w:r>
      <w:r w:rsidR="00074D17">
        <w:rPr>
          <w:rFonts w:ascii="Verdana" w:hAnsi="Verdana"/>
          <w:sz w:val="20"/>
          <w:szCs w:val="20"/>
        </w:rPr>
        <w:t xml:space="preserve">tifacts </w:t>
      </w:r>
      <w:r>
        <w:rPr>
          <w:rFonts w:ascii="Verdana" w:hAnsi="Verdana"/>
          <w:sz w:val="20"/>
          <w:szCs w:val="20"/>
        </w:rPr>
        <w:t>have the potential to spread rapidly when they are viewed as being interesting or novel.  In a universal sense, news spreads quickly, as stories travel around the globe instantly, particularly when a scandal happens or a new achievement is made by a prominent f</w:t>
      </w:r>
      <w:r w:rsidR="00074D17">
        <w:rPr>
          <w:rFonts w:ascii="Verdana" w:hAnsi="Verdana"/>
          <w:sz w:val="20"/>
          <w:szCs w:val="20"/>
        </w:rPr>
        <w:t xml:space="preserve">igure.  Videos of unusual incidents (such as Antoine Dodson’s </w:t>
      </w:r>
      <w:r w:rsidR="00074D17" w:rsidRPr="00074D17">
        <w:rPr>
          <w:rFonts w:ascii="Verdana" w:hAnsi="Verdana"/>
          <w:i/>
          <w:sz w:val="20"/>
          <w:szCs w:val="20"/>
        </w:rPr>
        <w:t>Bed Intruder</w:t>
      </w:r>
      <w:r w:rsidR="00074D17">
        <w:rPr>
          <w:rFonts w:ascii="Verdana" w:hAnsi="Verdana"/>
          <w:sz w:val="20"/>
          <w:szCs w:val="20"/>
        </w:rPr>
        <w:t>) or compelling</w:t>
      </w:r>
      <w:r>
        <w:rPr>
          <w:rFonts w:ascii="Verdana" w:hAnsi="Verdana"/>
          <w:sz w:val="20"/>
          <w:szCs w:val="20"/>
        </w:rPr>
        <w:t xml:space="preserve"> performances </w:t>
      </w:r>
      <w:r w:rsidR="00074D17">
        <w:rPr>
          <w:rFonts w:ascii="Verdana" w:hAnsi="Verdana"/>
          <w:sz w:val="20"/>
          <w:szCs w:val="20"/>
        </w:rPr>
        <w:t xml:space="preserve">(such as Ted </w:t>
      </w:r>
      <w:proofErr w:type="spellStart"/>
      <w:r w:rsidR="00074D17">
        <w:rPr>
          <w:rFonts w:ascii="Verdana" w:hAnsi="Verdana"/>
          <w:sz w:val="20"/>
          <w:szCs w:val="20"/>
        </w:rPr>
        <w:t>Williams’s</w:t>
      </w:r>
      <w:proofErr w:type="spellEnd"/>
      <w:r w:rsidR="00074D17">
        <w:rPr>
          <w:rFonts w:ascii="Verdana" w:hAnsi="Verdana"/>
          <w:sz w:val="20"/>
          <w:szCs w:val="20"/>
        </w:rPr>
        <w:t xml:space="preserve"> 2011 </w:t>
      </w:r>
      <w:proofErr w:type="spellStart"/>
      <w:r w:rsidR="00074D17">
        <w:rPr>
          <w:rFonts w:ascii="Verdana" w:hAnsi="Verdana"/>
          <w:sz w:val="20"/>
          <w:szCs w:val="20"/>
        </w:rPr>
        <w:t>Youtube</w:t>
      </w:r>
      <w:proofErr w:type="spellEnd"/>
      <w:r w:rsidR="00074D17">
        <w:rPr>
          <w:rFonts w:ascii="Verdana" w:hAnsi="Verdana"/>
          <w:sz w:val="20"/>
          <w:szCs w:val="20"/>
        </w:rPr>
        <w:t xml:space="preserve"> video) have the potential to </w:t>
      </w:r>
      <w:r>
        <w:rPr>
          <w:rFonts w:ascii="Verdana" w:hAnsi="Verdana"/>
          <w:sz w:val="20"/>
          <w:szCs w:val="20"/>
        </w:rPr>
        <w:t xml:space="preserve">gain the attention of people from all different cultures and walks of life.  Beyond this, products, services and business models that generate a great deal of hype </w:t>
      </w:r>
      <w:r w:rsidR="00CF2C3F">
        <w:rPr>
          <w:rFonts w:ascii="Verdana" w:hAnsi="Verdana"/>
          <w:sz w:val="20"/>
          <w:szCs w:val="20"/>
        </w:rPr>
        <w:t>(</w:t>
      </w:r>
      <w:proofErr w:type="spellStart"/>
      <w:r w:rsidR="00CF2C3F">
        <w:rPr>
          <w:rFonts w:ascii="Verdana" w:hAnsi="Verdana"/>
          <w:sz w:val="20"/>
          <w:szCs w:val="20"/>
        </w:rPr>
        <w:t>Facebook</w:t>
      </w:r>
      <w:proofErr w:type="spellEnd"/>
      <w:r w:rsidR="00CF2C3F">
        <w:rPr>
          <w:rFonts w:ascii="Verdana" w:hAnsi="Verdana"/>
          <w:sz w:val="20"/>
          <w:szCs w:val="20"/>
        </w:rPr>
        <w:t xml:space="preserve">, Twitter, hedge funds, etc.) can rapidly gain attention </w:t>
      </w:r>
      <w:r w:rsidR="00074D17">
        <w:rPr>
          <w:rFonts w:ascii="Verdana" w:hAnsi="Verdana"/>
          <w:sz w:val="20"/>
          <w:szCs w:val="20"/>
        </w:rPr>
        <w:t xml:space="preserve">from a wide range of individuals </w:t>
      </w:r>
      <w:r w:rsidR="00CF2C3F">
        <w:rPr>
          <w:rFonts w:ascii="Verdana" w:hAnsi="Verdana"/>
          <w:sz w:val="20"/>
          <w:szCs w:val="20"/>
        </w:rPr>
        <w:t>in a short period of time.</w:t>
      </w:r>
    </w:p>
    <w:p w:rsidR="00CF2C3F" w:rsidRPr="00C7644F" w:rsidRDefault="00CF2C3F" w:rsidP="003B1614">
      <w:pPr>
        <w:ind w:left="720"/>
        <w:rPr>
          <w:rFonts w:ascii="Verdana" w:hAnsi="Verdana"/>
          <w:sz w:val="20"/>
          <w:szCs w:val="20"/>
        </w:rPr>
      </w:pPr>
      <w:r>
        <w:rPr>
          <w:rFonts w:ascii="Verdana" w:hAnsi="Verdana"/>
          <w:sz w:val="20"/>
          <w:szCs w:val="20"/>
        </w:rPr>
        <w:t>This phenomenon also occurs in segmented areas and even within smaller local groups.  In a group of enthusiasts for a particular hobby, pastime or within a particular industry, news spreads quickly when an interesting development occurs.  Videos of amazing or outrageous behavior within the segment gain attention and are widely shared.  And, new business ideas, new products and services and new models are widely discussed and spread</w:t>
      </w:r>
      <w:r w:rsidR="00074D17">
        <w:rPr>
          <w:rFonts w:ascii="Verdana" w:hAnsi="Verdana"/>
          <w:sz w:val="20"/>
          <w:szCs w:val="20"/>
        </w:rPr>
        <w:t xml:space="preserve"> among participants</w:t>
      </w:r>
      <w:r>
        <w:rPr>
          <w:rFonts w:ascii="Verdana" w:hAnsi="Verdana"/>
          <w:sz w:val="20"/>
          <w:szCs w:val="20"/>
        </w:rPr>
        <w:t xml:space="preserve">.  Even among a small group of peers or colleagues, news travels fast, and videos, tweets and </w:t>
      </w:r>
      <w:proofErr w:type="spellStart"/>
      <w:r>
        <w:rPr>
          <w:rFonts w:ascii="Verdana" w:hAnsi="Verdana"/>
          <w:sz w:val="20"/>
          <w:szCs w:val="20"/>
        </w:rPr>
        <w:t>Facebook</w:t>
      </w:r>
      <w:proofErr w:type="spellEnd"/>
      <w:r>
        <w:rPr>
          <w:rFonts w:ascii="Verdana" w:hAnsi="Verdana"/>
          <w:sz w:val="20"/>
          <w:szCs w:val="20"/>
        </w:rPr>
        <w:t xml:space="preserve"> postings with interesting messages spread quickly.  The basic and almost obvious point is that when an artifact is novel, it has the potential to be spread quickly among those</w:t>
      </w:r>
      <w:r w:rsidR="00074D17">
        <w:rPr>
          <w:rFonts w:ascii="Verdana" w:hAnsi="Verdana"/>
          <w:sz w:val="20"/>
          <w:szCs w:val="20"/>
        </w:rPr>
        <w:t xml:space="preserve"> who belong to a segment/network that is likely to be interested in the topic of the artifact (e.g., Wiz </w:t>
      </w:r>
      <w:proofErr w:type="spellStart"/>
      <w:r w:rsidR="00074D17">
        <w:rPr>
          <w:rFonts w:ascii="Verdana" w:hAnsi="Verdana"/>
          <w:sz w:val="20"/>
          <w:szCs w:val="20"/>
        </w:rPr>
        <w:t>Khalifa’s</w:t>
      </w:r>
      <w:proofErr w:type="spellEnd"/>
      <w:r w:rsidR="00074D17">
        <w:rPr>
          <w:rFonts w:ascii="Verdana" w:hAnsi="Verdana"/>
          <w:sz w:val="20"/>
          <w:szCs w:val="20"/>
        </w:rPr>
        <w:t xml:space="preserve"> </w:t>
      </w:r>
      <w:r w:rsidR="00074D17" w:rsidRPr="00074D17">
        <w:rPr>
          <w:rFonts w:ascii="Verdana" w:hAnsi="Verdana"/>
          <w:i/>
          <w:sz w:val="20"/>
          <w:szCs w:val="20"/>
        </w:rPr>
        <w:t>Black and Yellow</w:t>
      </w:r>
      <w:r w:rsidR="00074D17">
        <w:rPr>
          <w:rFonts w:ascii="Verdana" w:hAnsi="Verdana"/>
          <w:sz w:val="20"/>
          <w:szCs w:val="20"/>
        </w:rPr>
        <w:t xml:space="preserve"> music video spread rapidly among fans of the Pittsburgh Steelers during the team’s Super Bowl run in January 2011</w:t>
      </w:r>
      <w:r>
        <w:rPr>
          <w:rFonts w:ascii="Verdana" w:hAnsi="Verdana"/>
          <w:sz w:val="20"/>
          <w:szCs w:val="20"/>
        </w:rPr>
        <w:t>.</w:t>
      </w:r>
    </w:p>
    <w:p w:rsidR="00F95C83" w:rsidRPr="003B1614" w:rsidRDefault="003B1614" w:rsidP="003B1614">
      <w:pPr>
        <w:pStyle w:val="ListParagraph"/>
        <w:numPr>
          <w:ilvl w:val="0"/>
          <w:numId w:val="3"/>
        </w:numPr>
        <w:rPr>
          <w:rFonts w:ascii="Verdana" w:hAnsi="Verdana"/>
          <w:b/>
          <w:sz w:val="20"/>
          <w:szCs w:val="20"/>
        </w:rPr>
      </w:pPr>
      <w:r>
        <w:rPr>
          <w:rFonts w:ascii="Verdana" w:hAnsi="Verdana"/>
          <w:b/>
          <w:sz w:val="20"/>
          <w:szCs w:val="20"/>
        </w:rPr>
        <w:t>Value Creation</w:t>
      </w:r>
    </w:p>
    <w:p w:rsidR="00C7644F" w:rsidRDefault="00CF2C3F" w:rsidP="00CF2C3F">
      <w:pPr>
        <w:ind w:left="720"/>
        <w:rPr>
          <w:rFonts w:ascii="Verdana" w:hAnsi="Verdana"/>
          <w:sz w:val="20"/>
          <w:szCs w:val="20"/>
        </w:rPr>
      </w:pPr>
      <w:r>
        <w:rPr>
          <w:rFonts w:ascii="Verdana" w:hAnsi="Verdana"/>
          <w:sz w:val="20"/>
          <w:szCs w:val="20"/>
        </w:rPr>
        <w:t>W</w:t>
      </w:r>
      <w:r w:rsidR="002402FC">
        <w:rPr>
          <w:rFonts w:ascii="Verdana" w:hAnsi="Verdana"/>
          <w:sz w:val="20"/>
          <w:szCs w:val="20"/>
        </w:rPr>
        <w:t>hile the novelty of an artifact</w:t>
      </w:r>
      <w:r>
        <w:rPr>
          <w:rFonts w:ascii="Verdana" w:hAnsi="Verdana"/>
          <w:sz w:val="20"/>
          <w:szCs w:val="20"/>
        </w:rPr>
        <w:t xml:space="preserve"> helps explain its appeal, the potential value that the artifact could have in an organization’s operations</w:t>
      </w:r>
      <w:r w:rsidR="002402FC">
        <w:rPr>
          <w:rFonts w:ascii="Verdana" w:hAnsi="Verdana"/>
          <w:sz w:val="20"/>
          <w:szCs w:val="20"/>
        </w:rPr>
        <w:t xml:space="preserve"> provides some logic for considering why a manager should consider devoting resources to it</w:t>
      </w:r>
      <w:r w:rsidR="00214BE4">
        <w:rPr>
          <w:rFonts w:ascii="Verdana" w:hAnsi="Verdana"/>
          <w:sz w:val="20"/>
          <w:szCs w:val="20"/>
        </w:rPr>
        <w:t xml:space="preserve">s development.  </w:t>
      </w:r>
      <w:r w:rsidR="00074D17">
        <w:rPr>
          <w:rFonts w:ascii="Verdana" w:hAnsi="Verdana"/>
          <w:sz w:val="20"/>
          <w:szCs w:val="20"/>
        </w:rPr>
        <w:t xml:space="preserve">The individual and/or organizational owners of viral content have experienced a wide range of economic outcomes (positive, negative and negligible) when an artifact goes viral.  </w:t>
      </w:r>
      <w:r w:rsidR="00214BE4">
        <w:rPr>
          <w:rFonts w:ascii="Verdana" w:hAnsi="Verdana"/>
          <w:sz w:val="20"/>
          <w:szCs w:val="20"/>
        </w:rPr>
        <w:t>One of the fascinating things about the internet is that there have been numerous instances of interesting messages and humorous or odd videos that have received a great deal of attention, but ultimately had little or no impact in generating revenues or improving performance</w:t>
      </w:r>
      <w:r w:rsidR="00074D17">
        <w:rPr>
          <w:rFonts w:ascii="Verdana" w:hAnsi="Verdana"/>
          <w:sz w:val="20"/>
          <w:szCs w:val="20"/>
        </w:rPr>
        <w:t xml:space="preserve"> (e.g., </w:t>
      </w:r>
      <w:r w:rsidR="000E515E">
        <w:rPr>
          <w:rFonts w:ascii="Verdana" w:hAnsi="Verdana"/>
          <w:sz w:val="20"/>
          <w:szCs w:val="20"/>
        </w:rPr>
        <w:t>the 2011 Star Wars Kid video was viewed by more than 1 billion people, but it did not have much tangible impact on Volkswagen’s sales)</w:t>
      </w:r>
      <w:r w:rsidR="00214BE4">
        <w:rPr>
          <w:rFonts w:ascii="Verdana" w:hAnsi="Verdana"/>
          <w:sz w:val="20"/>
          <w:szCs w:val="20"/>
        </w:rPr>
        <w:t xml:space="preserve">.  This same point can be made for new products and services that may receive a great deal of hype or attention, but ultimately do not prove to have much of an actual impact in generating revenue or improving performance (e.g., blockbuster films that flop or a new </w:t>
      </w:r>
      <w:proofErr w:type="spellStart"/>
      <w:r w:rsidR="00214BE4">
        <w:rPr>
          <w:rFonts w:ascii="Verdana" w:hAnsi="Verdana"/>
          <w:sz w:val="20"/>
          <w:szCs w:val="20"/>
        </w:rPr>
        <w:t>cellphone</w:t>
      </w:r>
      <w:proofErr w:type="spellEnd"/>
      <w:r w:rsidR="00214BE4">
        <w:rPr>
          <w:rFonts w:ascii="Verdana" w:hAnsi="Verdana"/>
          <w:sz w:val="20"/>
          <w:szCs w:val="20"/>
        </w:rPr>
        <w:t xml:space="preserve"> model that bombs after it is released).</w:t>
      </w:r>
    </w:p>
    <w:p w:rsidR="00214BE4" w:rsidRDefault="00214BE4" w:rsidP="00214BE4">
      <w:pPr>
        <w:ind w:left="720"/>
        <w:rPr>
          <w:rFonts w:ascii="Verdana" w:hAnsi="Verdana"/>
          <w:sz w:val="20"/>
          <w:szCs w:val="20"/>
        </w:rPr>
      </w:pPr>
      <w:r>
        <w:rPr>
          <w:rFonts w:ascii="Verdana" w:hAnsi="Verdana"/>
          <w:sz w:val="20"/>
          <w:szCs w:val="20"/>
        </w:rPr>
        <w:t xml:space="preserve">There are arguably two factors that must be in place for an artifact to make an impact in generating revenue and/or improve performance – legitimacy and functionality. </w:t>
      </w:r>
      <w:r w:rsidRPr="00214BE4">
        <w:rPr>
          <w:rFonts w:ascii="Verdana" w:hAnsi="Verdana"/>
          <w:i/>
          <w:sz w:val="20"/>
          <w:szCs w:val="20"/>
        </w:rPr>
        <w:t>Legitima</w:t>
      </w:r>
      <w:r>
        <w:rPr>
          <w:rFonts w:ascii="Verdana" w:hAnsi="Verdana"/>
          <w:i/>
          <w:sz w:val="20"/>
          <w:szCs w:val="20"/>
        </w:rPr>
        <w:t>cy</w:t>
      </w:r>
      <w:r>
        <w:rPr>
          <w:rFonts w:ascii="Verdana" w:hAnsi="Verdana"/>
          <w:sz w:val="20"/>
          <w:szCs w:val="20"/>
        </w:rPr>
        <w:t xml:space="preserve"> refers to the likelihood that the individual or organization’s </w:t>
      </w:r>
      <w:r>
        <w:rPr>
          <w:rFonts w:ascii="Verdana" w:hAnsi="Verdana"/>
          <w:sz w:val="20"/>
          <w:szCs w:val="20"/>
        </w:rPr>
        <w:lastRenderedPageBreak/>
        <w:t xml:space="preserve">utilization of the artifact will be viewed as reasonable and appropriate by key constituents.  </w:t>
      </w:r>
      <w:r>
        <w:rPr>
          <w:rFonts w:ascii="Verdana" w:hAnsi="Verdana"/>
          <w:i/>
          <w:sz w:val="20"/>
          <w:szCs w:val="20"/>
        </w:rPr>
        <w:t>Functionality</w:t>
      </w:r>
      <w:r>
        <w:rPr>
          <w:rFonts w:ascii="Verdana" w:hAnsi="Verdana"/>
          <w:sz w:val="20"/>
          <w:szCs w:val="20"/>
        </w:rPr>
        <w:t xml:space="preserve"> refers to the likelihood that the individual or organization’s utilization of the artifact will be useful in its operations.</w:t>
      </w:r>
      <w:r w:rsidR="00E95184">
        <w:rPr>
          <w:rFonts w:ascii="Verdana" w:hAnsi="Verdana"/>
          <w:sz w:val="20"/>
          <w:szCs w:val="20"/>
        </w:rPr>
        <w:t xml:space="preserve">  </w:t>
      </w:r>
      <w:r w:rsidR="000E515E">
        <w:rPr>
          <w:rFonts w:ascii="Verdana" w:hAnsi="Verdana"/>
          <w:sz w:val="20"/>
          <w:szCs w:val="20"/>
        </w:rPr>
        <w:t xml:space="preserve">The personal messaging site, Twitter, is a nice illustration of the difference between legitimacy and functionality.  Twitter is now widely-viewed as a </w:t>
      </w:r>
      <w:r w:rsidR="000E515E" w:rsidRPr="005A311E">
        <w:rPr>
          <w:rFonts w:ascii="Verdana" w:hAnsi="Verdana"/>
          <w:i/>
          <w:sz w:val="20"/>
          <w:szCs w:val="20"/>
        </w:rPr>
        <w:t>legitimate</w:t>
      </w:r>
      <w:r w:rsidR="000E515E">
        <w:rPr>
          <w:rFonts w:ascii="Verdana" w:hAnsi="Verdana"/>
          <w:sz w:val="20"/>
          <w:szCs w:val="20"/>
        </w:rPr>
        <w:t xml:space="preserve"> vehicle for marketing and public relations campaigns.  Clients, customers and marketing professionals accept and even expect that marketing and public relations campaigns will utilize Twitter.  At the same time, Twitter is also </w:t>
      </w:r>
      <w:r w:rsidR="000E515E" w:rsidRPr="005A311E">
        <w:rPr>
          <w:rFonts w:ascii="Verdana" w:hAnsi="Verdana"/>
          <w:i/>
          <w:sz w:val="20"/>
          <w:szCs w:val="20"/>
        </w:rPr>
        <w:t>functional</w:t>
      </w:r>
      <w:r w:rsidR="000E515E">
        <w:rPr>
          <w:rFonts w:ascii="Verdana" w:hAnsi="Verdana"/>
          <w:sz w:val="20"/>
          <w:szCs w:val="20"/>
        </w:rPr>
        <w:t xml:space="preserve">, in that it is an effective, yet cost efficient means of pushing a message or information to large numbers of fans/followers.   </w:t>
      </w:r>
      <w:r w:rsidR="00E95184">
        <w:rPr>
          <w:rFonts w:ascii="Verdana" w:hAnsi="Verdana"/>
          <w:sz w:val="20"/>
          <w:szCs w:val="20"/>
        </w:rPr>
        <w:t>The basic point is that an artifact has potential in terms of value creation if key constituents view the individual/organization’s utilization of the artifact as legitimate, and if the artifact can reasonably be utilized to make a positive impact on the individual/organization’s performance.</w:t>
      </w:r>
    </w:p>
    <w:p w:rsidR="00214BE4" w:rsidRDefault="00214BE4" w:rsidP="00214BE4">
      <w:pPr>
        <w:ind w:left="720"/>
        <w:rPr>
          <w:rFonts w:ascii="Verdana" w:hAnsi="Verdana"/>
          <w:sz w:val="20"/>
          <w:szCs w:val="20"/>
        </w:rPr>
      </w:pPr>
      <w:r>
        <w:rPr>
          <w:rFonts w:ascii="Verdana" w:hAnsi="Verdana"/>
          <w:sz w:val="20"/>
          <w:szCs w:val="20"/>
        </w:rPr>
        <w:t xml:space="preserve">When an individual or organization is associated with a novel </w:t>
      </w:r>
      <w:r w:rsidR="007A03E9">
        <w:rPr>
          <w:rFonts w:ascii="Verdana" w:hAnsi="Verdana"/>
          <w:sz w:val="20"/>
          <w:szCs w:val="20"/>
        </w:rPr>
        <w:t>artifact, it is important that the manner in which the organization seeks to use or deploy the artifact is seen as reasonable by key constituents.  If a public relations campaign to capitalize on a novel message is viewed as too controversial or as insincere, the campaign is likely to have a limited impact.  If a novel product or service is not viewed as being up to current standards (particularly with respect to legal concerns and even with respect to popular beliefs), it will be difficult to further business activities associated with the artifact.  In short, there is a risk when trying to get out in front of something popular, without being viewed as “selling out” or being part of the latest “fad.”  Also, taking a legal risk or pursuing something that could have a negative impact on public relations can be a real gamble.</w:t>
      </w:r>
    </w:p>
    <w:p w:rsidR="007A03E9" w:rsidRPr="00214BE4" w:rsidRDefault="007A03E9" w:rsidP="00214BE4">
      <w:pPr>
        <w:ind w:left="720"/>
        <w:rPr>
          <w:rFonts w:ascii="Verdana" w:hAnsi="Verdana"/>
          <w:sz w:val="20"/>
          <w:szCs w:val="20"/>
        </w:rPr>
      </w:pPr>
      <w:r>
        <w:rPr>
          <w:rFonts w:ascii="Verdana" w:hAnsi="Verdana"/>
          <w:sz w:val="20"/>
          <w:szCs w:val="20"/>
        </w:rPr>
        <w:t xml:space="preserve">The functional utility of the novel artifact is also a key concern.  As students of business administration, we can ask basic questions about how and why a novel artifact is likely to make a contribution to an individual’s performance or an organization’s operations.  In short, we can use the same mindset and similar techniques as we would apply to any other business activity </w:t>
      </w:r>
      <w:r w:rsidR="00323D62">
        <w:rPr>
          <w:rFonts w:ascii="Verdana" w:hAnsi="Verdana"/>
          <w:sz w:val="20"/>
          <w:szCs w:val="20"/>
        </w:rPr>
        <w:t xml:space="preserve">(marketing, finance, accounting, operations, etc.) </w:t>
      </w:r>
      <w:r>
        <w:rPr>
          <w:rFonts w:ascii="Verdana" w:hAnsi="Verdana"/>
          <w:sz w:val="20"/>
          <w:szCs w:val="20"/>
        </w:rPr>
        <w:t>to plan and assess the likely impact that the utilization of a new message, video, product, service or business model is likely to have on an individual or organization.</w:t>
      </w:r>
    </w:p>
    <w:p w:rsidR="00C7644F" w:rsidRPr="003B1614" w:rsidRDefault="003B1614" w:rsidP="003B1614">
      <w:pPr>
        <w:pStyle w:val="ListParagraph"/>
        <w:numPr>
          <w:ilvl w:val="0"/>
          <w:numId w:val="3"/>
        </w:numPr>
        <w:rPr>
          <w:rFonts w:ascii="Verdana" w:hAnsi="Verdana"/>
          <w:b/>
          <w:sz w:val="20"/>
          <w:szCs w:val="20"/>
        </w:rPr>
      </w:pPr>
      <w:r>
        <w:rPr>
          <w:rFonts w:ascii="Verdana" w:hAnsi="Verdana"/>
          <w:b/>
          <w:sz w:val="20"/>
          <w:szCs w:val="20"/>
        </w:rPr>
        <w:t>Network Position</w:t>
      </w:r>
    </w:p>
    <w:p w:rsidR="00C7644F" w:rsidRDefault="00323D62" w:rsidP="00323D62">
      <w:pPr>
        <w:ind w:left="720"/>
        <w:rPr>
          <w:rFonts w:ascii="Verdana" w:hAnsi="Verdana"/>
          <w:sz w:val="20"/>
          <w:szCs w:val="20"/>
        </w:rPr>
      </w:pPr>
      <w:r>
        <w:rPr>
          <w:rFonts w:ascii="Verdana" w:hAnsi="Verdana"/>
          <w:sz w:val="20"/>
          <w:szCs w:val="20"/>
        </w:rPr>
        <w:t xml:space="preserve">While novelty addresses the appeal of an artifact and value creation addresses its appropriateness and relevance in business activities, the true “viral” nature of an artifact relates to the consideration of the likelihood that an artifact will take on a life of its own and be spread rapidly to individuals who are likely to be interested in the artifact.  Social network analysis provides a wide range of tools that can be utilized to assess how and why a particular artifact is likely to spread through a network of actors who share a common set of relationships.  One of the great contributions of network analysis is the ability to examine networks of various size and scope, based around simple questions of how often actors interact and the quality of their interactions.  </w:t>
      </w:r>
    </w:p>
    <w:p w:rsidR="00323D62" w:rsidRDefault="003B664E" w:rsidP="00323D62">
      <w:pPr>
        <w:ind w:left="720"/>
        <w:rPr>
          <w:rFonts w:ascii="Verdana" w:hAnsi="Verdana"/>
          <w:sz w:val="20"/>
          <w:szCs w:val="20"/>
        </w:rPr>
      </w:pPr>
      <w:r>
        <w:rPr>
          <w:rFonts w:ascii="Verdana" w:hAnsi="Verdana"/>
          <w:sz w:val="20"/>
          <w:szCs w:val="20"/>
        </w:rPr>
        <w:lastRenderedPageBreak/>
        <w:t>Density is o</w:t>
      </w:r>
      <w:r w:rsidR="00323D62">
        <w:rPr>
          <w:rFonts w:ascii="Verdana" w:hAnsi="Verdana"/>
          <w:sz w:val="20"/>
          <w:szCs w:val="20"/>
        </w:rPr>
        <w:t xml:space="preserve">ne of the key concerns in network analysis related to the assessment of the viral nature of an </w:t>
      </w:r>
      <w:r>
        <w:rPr>
          <w:rFonts w:ascii="Verdana" w:hAnsi="Verdana"/>
          <w:sz w:val="20"/>
          <w:szCs w:val="20"/>
        </w:rPr>
        <w:t>artifact.  Something novel is likely to travel in a rapid manner among a dense network of individuals who communicate frequently with one another.  In a less dense network, in which individuals do not communicate with one another as frequently, the rate of transmission may be slower and less pervasive throughout the network.</w:t>
      </w:r>
    </w:p>
    <w:p w:rsidR="003B664E" w:rsidRDefault="003B664E" w:rsidP="00323D62">
      <w:pPr>
        <w:ind w:left="720"/>
        <w:rPr>
          <w:rFonts w:ascii="Verdana" w:hAnsi="Verdana"/>
          <w:sz w:val="20"/>
          <w:szCs w:val="20"/>
        </w:rPr>
      </w:pPr>
      <w:r>
        <w:rPr>
          <w:rFonts w:ascii="Verdana" w:hAnsi="Verdana"/>
          <w:sz w:val="20"/>
          <w:szCs w:val="20"/>
        </w:rPr>
        <w:t xml:space="preserve">This conceptual point about networks has practical relevance when one considers two of the primary roles that are encountered in social networks – mavens and connectors.  Mavens are experts in a particular area, with a high level of specialized knowledge in a given topic area (e.g., people who are financial experts, or tax experts, or aficionados of music from the 1930s, and so on).  Mavens can struggle in making an impact with their knowledge unless they have access to a network or networks of individuals who are willing and able to utilize their knowledge.  Connectors are individuals who have a wide range of contacts within a network and typically in other networks.  As the popular author Malcolm </w:t>
      </w:r>
      <w:proofErr w:type="spellStart"/>
      <w:r>
        <w:rPr>
          <w:rFonts w:ascii="Verdana" w:hAnsi="Verdana"/>
          <w:sz w:val="20"/>
          <w:szCs w:val="20"/>
        </w:rPr>
        <w:t>Gladwell</w:t>
      </w:r>
      <w:proofErr w:type="spellEnd"/>
      <w:r>
        <w:rPr>
          <w:rFonts w:ascii="Verdana" w:hAnsi="Verdana"/>
          <w:sz w:val="20"/>
          <w:szCs w:val="20"/>
        </w:rPr>
        <w:t xml:space="preserve"> frames this in </w:t>
      </w:r>
      <w:r w:rsidRPr="003B664E">
        <w:rPr>
          <w:rFonts w:ascii="Verdana" w:hAnsi="Verdana"/>
          <w:i/>
          <w:sz w:val="20"/>
          <w:szCs w:val="20"/>
        </w:rPr>
        <w:t>the Tipping Point</w:t>
      </w:r>
      <w:r>
        <w:rPr>
          <w:rFonts w:ascii="Verdana" w:hAnsi="Verdana"/>
          <w:sz w:val="20"/>
          <w:szCs w:val="20"/>
        </w:rPr>
        <w:t>, connectors derive personal satisfaction from forming and extending connections within their networks and with others who give them access to new networks and new contacts.</w:t>
      </w:r>
    </w:p>
    <w:p w:rsidR="00543603" w:rsidRDefault="003B664E" w:rsidP="00323D62">
      <w:pPr>
        <w:ind w:left="720"/>
        <w:rPr>
          <w:rFonts w:ascii="Verdana" w:hAnsi="Verdana"/>
          <w:sz w:val="20"/>
          <w:szCs w:val="20"/>
        </w:rPr>
      </w:pPr>
      <w:r>
        <w:rPr>
          <w:rFonts w:ascii="Verdana" w:hAnsi="Verdana"/>
          <w:sz w:val="20"/>
          <w:szCs w:val="20"/>
        </w:rPr>
        <w:t>The matter of network density and the roles of mav</w:t>
      </w:r>
      <w:r w:rsidR="00CA74C7">
        <w:rPr>
          <w:rFonts w:ascii="Verdana" w:hAnsi="Verdana"/>
          <w:sz w:val="20"/>
          <w:szCs w:val="20"/>
        </w:rPr>
        <w:t xml:space="preserve">ens and connectors are some of </w:t>
      </w:r>
      <w:r>
        <w:rPr>
          <w:rFonts w:ascii="Verdana" w:hAnsi="Verdana"/>
          <w:sz w:val="20"/>
          <w:szCs w:val="20"/>
        </w:rPr>
        <w:t xml:space="preserve">the key tools in network analysis that can be used to assess the likelihood that </w:t>
      </w:r>
      <w:r w:rsidR="00543603">
        <w:rPr>
          <w:rFonts w:ascii="Verdana" w:hAnsi="Verdana"/>
          <w:sz w:val="20"/>
          <w:szCs w:val="20"/>
        </w:rPr>
        <w:t>a novel artifact</w:t>
      </w:r>
      <w:r>
        <w:rPr>
          <w:rFonts w:ascii="Verdana" w:hAnsi="Verdana"/>
          <w:sz w:val="20"/>
          <w:szCs w:val="20"/>
        </w:rPr>
        <w:t xml:space="preserve"> will take on a life of its own and spread to actors that are likely </w:t>
      </w:r>
      <w:r w:rsidR="00543603">
        <w:rPr>
          <w:rFonts w:ascii="Verdana" w:hAnsi="Verdana"/>
          <w:sz w:val="20"/>
          <w:szCs w:val="20"/>
        </w:rPr>
        <w:t>to be interested.  Placing a novel artifact in the reach of a connector in a network in which there is a dense level of frequent interaction generates conditions for the novel artifact to spread among actors in the network.  A concrete example of this abstract idea is how Oprah Winfrey’s “Book Club” can generate significant attention and significant sales for an author appearing in this segment of her TV show – simply because the vast range of individuals who pay attention to Oprah become aware of a book that they might never have even considered.</w:t>
      </w:r>
    </w:p>
    <w:p w:rsidR="00543603" w:rsidRDefault="00543603" w:rsidP="00DD5347">
      <w:pPr>
        <w:ind w:left="720"/>
        <w:rPr>
          <w:rFonts w:ascii="Verdana" w:hAnsi="Verdana"/>
          <w:sz w:val="20"/>
          <w:szCs w:val="20"/>
        </w:rPr>
      </w:pPr>
      <w:r>
        <w:rPr>
          <w:rFonts w:ascii="Verdana" w:hAnsi="Verdana"/>
          <w:sz w:val="20"/>
          <w:szCs w:val="20"/>
        </w:rPr>
        <w:t>The reverse would be true if one were considering a network in which there are a few mavens who do not communicate with one another regularly.  Even though the individuals in the network are talented and potentially developing artifacts that could be useful in their given domain, the lack of opportunity to spread awareness of the artifact would limit its transmission.  A concrete example of this is what occurs when someone in a highly technical field creates an invention that sits for years until it is “discovered” by someone who can apply it.</w:t>
      </w:r>
    </w:p>
    <w:p w:rsidR="00764D80" w:rsidRDefault="00764D80">
      <w:pPr>
        <w:rPr>
          <w:rFonts w:ascii="Verdana" w:hAnsi="Verdana"/>
          <w:b/>
          <w:sz w:val="20"/>
          <w:szCs w:val="20"/>
        </w:rPr>
      </w:pPr>
      <w:r>
        <w:rPr>
          <w:rFonts w:ascii="Verdana" w:hAnsi="Verdana"/>
          <w:b/>
          <w:sz w:val="20"/>
          <w:szCs w:val="20"/>
        </w:rPr>
        <w:br w:type="page"/>
      </w:r>
    </w:p>
    <w:p w:rsidR="00543603" w:rsidRPr="00543603" w:rsidRDefault="00695443" w:rsidP="00543603">
      <w:pPr>
        <w:ind w:left="720"/>
        <w:rPr>
          <w:rFonts w:ascii="Verdana" w:hAnsi="Verdana"/>
          <w:sz w:val="20"/>
          <w:szCs w:val="20"/>
        </w:rPr>
      </w:pPr>
      <w:r>
        <w:rPr>
          <w:rFonts w:ascii="Verdana" w:hAnsi="Verdana"/>
          <w:b/>
          <w:sz w:val="20"/>
          <w:szCs w:val="20"/>
        </w:rPr>
        <w:lastRenderedPageBreak/>
        <w:t xml:space="preserve">Figure 1 - </w:t>
      </w:r>
      <w:r w:rsidR="00543603" w:rsidRPr="00543603">
        <w:rPr>
          <w:rFonts w:ascii="Verdana" w:hAnsi="Verdana"/>
          <w:b/>
          <w:sz w:val="20"/>
          <w:szCs w:val="20"/>
        </w:rPr>
        <w:t>A Basic Chart to Assess How to Manage an Artifact</w:t>
      </w:r>
    </w:p>
    <w:tbl>
      <w:tblPr>
        <w:tblStyle w:val="TableGrid"/>
        <w:tblpPr w:leftFromText="180" w:rightFromText="180" w:vertAnchor="page" w:horzAnchor="margin" w:tblpY="2029"/>
        <w:tblW w:w="0" w:type="auto"/>
        <w:tblLook w:val="04A0"/>
      </w:tblPr>
      <w:tblGrid>
        <w:gridCol w:w="3192"/>
        <w:gridCol w:w="3192"/>
        <w:gridCol w:w="3192"/>
      </w:tblGrid>
      <w:tr w:rsidR="00764D80" w:rsidRPr="00503EBC" w:rsidTr="00764D80">
        <w:tc>
          <w:tcPr>
            <w:tcW w:w="3192" w:type="dxa"/>
          </w:tcPr>
          <w:p w:rsidR="00764D80" w:rsidRPr="00503EBC" w:rsidRDefault="00764D80" w:rsidP="00764D80">
            <w:pPr>
              <w:jc w:val="center"/>
              <w:rPr>
                <w:rFonts w:ascii="Verdana" w:hAnsi="Verdana"/>
                <w:b/>
                <w:sz w:val="20"/>
                <w:szCs w:val="20"/>
              </w:rPr>
            </w:pPr>
            <w:r>
              <w:rPr>
                <w:rFonts w:ascii="Verdana" w:hAnsi="Verdana"/>
                <w:b/>
                <w:sz w:val="20"/>
                <w:szCs w:val="20"/>
              </w:rPr>
              <w:t>Novelty of the Artifact</w:t>
            </w:r>
          </w:p>
          <w:p w:rsidR="00764D80" w:rsidRPr="00503EBC" w:rsidRDefault="00764D80" w:rsidP="00764D80">
            <w:pPr>
              <w:jc w:val="center"/>
              <w:rPr>
                <w:rFonts w:ascii="Verdana" w:hAnsi="Verdana"/>
                <w:sz w:val="20"/>
                <w:szCs w:val="20"/>
              </w:rPr>
            </w:pPr>
          </w:p>
        </w:tc>
        <w:tc>
          <w:tcPr>
            <w:tcW w:w="3192" w:type="dxa"/>
          </w:tcPr>
          <w:p w:rsidR="00764D80" w:rsidRDefault="00764D80" w:rsidP="00764D80">
            <w:pPr>
              <w:jc w:val="center"/>
              <w:rPr>
                <w:rFonts w:ascii="Verdana" w:hAnsi="Verdana"/>
                <w:b/>
                <w:sz w:val="20"/>
                <w:szCs w:val="20"/>
              </w:rPr>
            </w:pPr>
            <w:r>
              <w:rPr>
                <w:rFonts w:ascii="Verdana" w:hAnsi="Verdana"/>
                <w:b/>
                <w:sz w:val="20"/>
                <w:szCs w:val="20"/>
              </w:rPr>
              <w:t>Value Creation Associated</w:t>
            </w:r>
          </w:p>
          <w:p w:rsidR="00764D80" w:rsidRDefault="00764D80" w:rsidP="00764D80">
            <w:pPr>
              <w:jc w:val="center"/>
              <w:rPr>
                <w:rFonts w:ascii="Verdana" w:hAnsi="Verdana"/>
                <w:b/>
                <w:sz w:val="20"/>
                <w:szCs w:val="20"/>
              </w:rPr>
            </w:pPr>
            <w:r>
              <w:rPr>
                <w:rFonts w:ascii="Verdana" w:hAnsi="Verdana"/>
                <w:b/>
                <w:sz w:val="20"/>
                <w:szCs w:val="20"/>
              </w:rPr>
              <w:t>With the Artifact</w:t>
            </w:r>
          </w:p>
          <w:p w:rsidR="00764D80" w:rsidRPr="00503EBC" w:rsidRDefault="00764D80" w:rsidP="00764D80">
            <w:pPr>
              <w:jc w:val="center"/>
              <w:rPr>
                <w:rFonts w:ascii="Verdana" w:hAnsi="Verdana"/>
                <w:b/>
                <w:sz w:val="20"/>
                <w:szCs w:val="20"/>
              </w:rPr>
            </w:pPr>
          </w:p>
        </w:tc>
        <w:tc>
          <w:tcPr>
            <w:tcW w:w="3192" w:type="dxa"/>
          </w:tcPr>
          <w:p w:rsidR="00764D80" w:rsidRPr="00503EBC" w:rsidRDefault="00764D80" w:rsidP="00764D80">
            <w:pPr>
              <w:jc w:val="center"/>
              <w:rPr>
                <w:rFonts w:ascii="Verdana" w:hAnsi="Verdana"/>
                <w:b/>
                <w:sz w:val="20"/>
                <w:szCs w:val="20"/>
              </w:rPr>
            </w:pPr>
            <w:r>
              <w:rPr>
                <w:rFonts w:ascii="Verdana" w:hAnsi="Verdana"/>
                <w:b/>
                <w:sz w:val="20"/>
                <w:szCs w:val="20"/>
              </w:rPr>
              <w:t>Position of the Artifact within Viable Networks</w:t>
            </w:r>
          </w:p>
        </w:tc>
      </w:tr>
      <w:tr w:rsidR="00764D80" w:rsidRPr="00503EBC" w:rsidTr="00764D80">
        <w:tc>
          <w:tcPr>
            <w:tcW w:w="3192" w:type="dxa"/>
          </w:tcPr>
          <w:p w:rsidR="00764D80" w:rsidRPr="00503EBC" w:rsidRDefault="00764D80" w:rsidP="00764D80">
            <w:pPr>
              <w:rPr>
                <w:rFonts w:ascii="Verdana" w:hAnsi="Verdana"/>
                <w:sz w:val="20"/>
                <w:szCs w:val="20"/>
              </w:rPr>
            </w:pPr>
            <w:r w:rsidRPr="00503EBC">
              <w:rPr>
                <w:rFonts w:ascii="Verdana" w:hAnsi="Verdana"/>
                <w:sz w:val="20"/>
                <w:szCs w:val="20"/>
              </w:rPr>
              <w:t>1-Local Message</w:t>
            </w:r>
          </w:p>
        </w:tc>
        <w:tc>
          <w:tcPr>
            <w:tcW w:w="3192" w:type="dxa"/>
          </w:tcPr>
          <w:p w:rsidR="00764D80" w:rsidRPr="00503EBC" w:rsidRDefault="00764D80" w:rsidP="00764D80">
            <w:pPr>
              <w:rPr>
                <w:rFonts w:ascii="Verdana" w:hAnsi="Verdana"/>
                <w:sz w:val="20"/>
                <w:szCs w:val="20"/>
              </w:rPr>
            </w:pPr>
            <w:r w:rsidRPr="00503EBC">
              <w:rPr>
                <w:rFonts w:ascii="Verdana" w:hAnsi="Verdana"/>
                <w:sz w:val="20"/>
                <w:szCs w:val="20"/>
              </w:rPr>
              <w:t>1-</w:t>
            </w:r>
            <w:r>
              <w:rPr>
                <w:rFonts w:ascii="Verdana" w:hAnsi="Verdana"/>
                <w:sz w:val="20"/>
                <w:szCs w:val="20"/>
              </w:rPr>
              <w:t>Legitimate, but not yet Functional</w:t>
            </w:r>
          </w:p>
          <w:p w:rsidR="00764D80" w:rsidRPr="00503EBC" w:rsidRDefault="00764D80" w:rsidP="00764D80">
            <w:pPr>
              <w:rPr>
                <w:rFonts w:ascii="Verdana" w:hAnsi="Verdana"/>
                <w:sz w:val="20"/>
                <w:szCs w:val="20"/>
              </w:rPr>
            </w:pPr>
          </w:p>
        </w:tc>
        <w:tc>
          <w:tcPr>
            <w:tcW w:w="3192" w:type="dxa"/>
          </w:tcPr>
          <w:p w:rsidR="00764D80" w:rsidRPr="00503EBC" w:rsidRDefault="00764D80" w:rsidP="00764D80">
            <w:pPr>
              <w:rPr>
                <w:rFonts w:ascii="Verdana" w:hAnsi="Verdana"/>
                <w:sz w:val="20"/>
                <w:szCs w:val="20"/>
              </w:rPr>
            </w:pPr>
            <w:r w:rsidRPr="00503EBC">
              <w:rPr>
                <w:rFonts w:ascii="Verdana" w:hAnsi="Verdana"/>
                <w:sz w:val="20"/>
                <w:szCs w:val="20"/>
              </w:rPr>
              <w:t>1-</w:t>
            </w:r>
            <w:r>
              <w:rPr>
                <w:rFonts w:ascii="Verdana" w:hAnsi="Verdana"/>
                <w:sz w:val="20"/>
                <w:szCs w:val="20"/>
              </w:rPr>
              <w:t>Mavens in a Network with Low Density</w:t>
            </w:r>
          </w:p>
        </w:tc>
      </w:tr>
      <w:tr w:rsidR="00764D80" w:rsidRPr="00503EBC" w:rsidTr="00764D80">
        <w:tc>
          <w:tcPr>
            <w:tcW w:w="3192" w:type="dxa"/>
          </w:tcPr>
          <w:p w:rsidR="00764D80" w:rsidRPr="00503EBC" w:rsidRDefault="00764D80" w:rsidP="00764D80">
            <w:pPr>
              <w:rPr>
                <w:rFonts w:ascii="Verdana" w:hAnsi="Verdana"/>
                <w:sz w:val="20"/>
                <w:szCs w:val="20"/>
              </w:rPr>
            </w:pPr>
            <w:r w:rsidRPr="00503EBC">
              <w:rPr>
                <w:rFonts w:ascii="Verdana" w:hAnsi="Verdana"/>
                <w:sz w:val="20"/>
                <w:szCs w:val="20"/>
              </w:rPr>
              <w:t>2-Segmented Novelty</w:t>
            </w:r>
          </w:p>
        </w:tc>
        <w:tc>
          <w:tcPr>
            <w:tcW w:w="3192" w:type="dxa"/>
          </w:tcPr>
          <w:p w:rsidR="00764D80" w:rsidRPr="00503EBC" w:rsidRDefault="00764D80" w:rsidP="00764D80">
            <w:pPr>
              <w:rPr>
                <w:rFonts w:ascii="Verdana" w:hAnsi="Verdana"/>
                <w:sz w:val="20"/>
                <w:szCs w:val="20"/>
              </w:rPr>
            </w:pPr>
            <w:r w:rsidRPr="00503EBC">
              <w:rPr>
                <w:rFonts w:ascii="Verdana" w:hAnsi="Verdana"/>
                <w:sz w:val="20"/>
                <w:szCs w:val="20"/>
              </w:rPr>
              <w:t>2-</w:t>
            </w:r>
            <w:r>
              <w:rPr>
                <w:rFonts w:ascii="Verdana" w:hAnsi="Verdana"/>
                <w:sz w:val="20"/>
                <w:szCs w:val="20"/>
              </w:rPr>
              <w:t>Functional, but not yet Legitimate</w:t>
            </w:r>
          </w:p>
          <w:p w:rsidR="00764D80" w:rsidRPr="00503EBC" w:rsidRDefault="00764D80" w:rsidP="00764D80">
            <w:pPr>
              <w:rPr>
                <w:rFonts w:ascii="Verdana" w:hAnsi="Verdana"/>
                <w:sz w:val="20"/>
                <w:szCs w:val="20"/>
              </w:rPr>
            </w:pPr>
          </w:p>
        </w:tc>
        <w:tc>
          <w:tcPr>
            <w:tcW w:w="3192" w:type="dxa"/>
          </w:tcPr>
          <w:p w:rsidR="00764D80" w:rsidRPr="00503EBC" w:rsidRDefault="00764D80" w:rsidP="00764D80">
            <w:pPr>
              <w:rPr>
                <w:rFonts w:ascii="Verdana" w:hAnsi="Verdana"/>
                <w:sz w:val="20"/>
                <w:szCs w:val="20"/>
              </w:rPr>
            </w:pPr>
            <w:r w:rsidRPr="00503EBC">
              <w:rPr>
                <w:rFonts w:ascii="Verdana" w:hAnsi="Verdana"/>
                <w:sz w:val="20"/>
                <w:szCs w:val="20"/>
              </w:rPr>
              <w:t>2-</w:t>
            </w:r>
            <w:r>
              <w:rPr>
                <w:rFonts w:ascii="Verdana" w:hAnsi="Verdana"/>
                <w:sz w:val="20"/>
                <w:szCs w:val="20"/>
              </w:rPr>
              <w:t>Connectors in a Network with High Density</w:t>
            </w:r>
          </w:p>
        </w:tc>
      </w:tr>
      <w:tr w:rsidR="00764D80" w:rsidRPr="00503EBC" w:rsidTr="00764D80">
        <w:tc>
          <w:tcPr>
            <w:tcW w:w="3192" w:type="dxa"/>
          </w:tcPr>
          <w:p w:rsidR="00764D80" w:rsidRPr="00503EBC" w:rsidRDefault="00764D80" w:rsidP="00764D80">
            <w:pPr>
              <w:rPr>
                <w:rFonts w:ascii="Verdana" w:hAnsi="Verdana"/>
                <w:sz w:val="20"/>
                <w:szCs w:val="20"/>
              </w:rPr>
            </w:pPr>
            <w:r w:rsidRPr="00503EBC">
              <w:rPr>
                <w:rFonts w:ascii="Verdana" w:hAnsi="Verdana"/>
                <w:sz w:val="20"/>
                <w:szCs w:val="20"/>
              </w:rPr>
              <w:t>3-Universal Novelty</w:t>
            </w:r>
          </w:p>
        </w:tc>
        <w:tc>
          <w:tcPr>
            <w:tcW w:w="3192" w:type="dxa"/>
          </w:tcPr>
          <w:p w:rsidR="00764D80" w:rsidRPr="00503EBC" w:rsidRDefault="00764D80" w:rsidP="00764D80">
            <w:pPr>
              <w:rPr>
                <w:rFonts w:ascii="Verdana" w:hAnsi="Verdana"/>
                <w:sz w:val="20"/>
                <w:szCs w:val="20"/>
              </w:rPr>
            </w:pPr>
            <w:r w:rsidRPr="00503EBC">
              <w:rPr>
                <w:rFonts w:ascii="Verdana" w:hAnsi="Verdana"/>
                <w:sz w:val="20"/>
                <w:szCs w:val="20"/>
              </w:rPr>
              <w:t>3-</w:t>
            </w:r>
            <w:r>
              <w:rPr>
                <w:rFonts w:ascii="Verdana" w:hAnsi="Verdana"/>
                <w:sz w:val="20"/>
                <w:szCs w:val="20"/>
              </w:rPr>
              <w:t>Legitimate and Functional</w:t>
            </w:r>
          </w:p>
          <w:p w:rsidR="00764D80" w:rsidRPr="00503EBC" w:rsidRDefault="00764D80" w:rsidP="00764D80">
            <w:pPr>
              <w:rPr>
                <w:rFonts w:ascii="Verdana" w:hAnsi="Verdana"/>
                <w:sz w:val="20"/>
                <w:szCs w:val="20"/>
              </w:rPr>
            </w:pPr>
          </w:p>
        </w:tc>
        <w:tc>
          <w:tcPr>
            <w:tcW w:w="3192" w:type="dxa"/>
          </w:tcPr>
          <w:p w:rsidR="00764D80" w:rsidRPr="00503EBC" w:rsidRDefault="00764D80" w:rsidP="00764D80">
            <w:pPr>
              <w:rPr>
                <w:rFonts w:ascii="Verdana" w:hAnsi="Verdana"/>
                <w:sz w:val="20"/>
                <w:szCs w:val="20"/>
              </w:rPr>
            </w:pPr>
            <w:r w:rsidRPr="00503EBC">
              <w:rPr>
                <w:rFonts w:ascii="Verdana" w:hAnsi="Verdana"/>
                <w:sz w:val="20"/>
                <w:szCs w:val="20"/>
              </w:rPr>
              <w:t>3-</w:t>
            </w:r>
            <w:r>
              <w:rPr>
                <w:rFonts w:ascii="Verdana" w:hAnsi="Verdana"/>
                <w:sz w:val="20"/>
                <w:szCs w:val="20"/>
              </w:rPr>
              <w:t>Well-Positioned among Connectors and Mavens in Multiple Viable Networks</w:t>
            </w:r>
          </w:p>
        </w:tc>
      </w:tr>
    </w:tbl>
    <w:p w:rsidR="00764D80" w:rsidRDefault="00764D80" w:rsidP="00764D80">
      <w:pPr>
        <w:rPr>
          <w:rFonts w:ascii="Verdana" w:hAnsi="Verdana"/>
          <w:sz w:val="16"/>
          <w:szCs w:val="16"/>
          <w:u w:val="single"/>
        </w:rPr>
      </w:pPr>
    </w:p>
    <w:p w:rsidR="00764D80" w:rsidRPr="00DD5347" w:rsidRDefault="00764D80" w:rsidP="00764D80">
      <w:pPr>
        <w:rPr>
          <w:rFonts w:ascii="Verdana" w:hAnsi="Verdana"/>
          <w:sz w:val="16"/>
          <w:szCs w:val="16"/>
        </w:rPr>
      </w:pPr>
      <w:r w:rsidRPr="00DD5347">
        <w:rPr>
          <w:rFonts w:ascii="Verdana" w:hAnsi="Verdana"/>
          <w:sz w:val="16"/>
          <w:szCs w:val="16"/>
          <w:u w:val="single"/>
        </w:rPr>
        <w:t>Sources</w:t>
      </w:r>
      <w:r w:rsidRPr="00DD5347">
        <w:rPr>
          <w:rFonts w:ascii="Verdana" w:hAnsi="Verdana"/>
          <w:sz w:val="16"/>
          <w:szCs w:val="16"/>
        </w:rPr>
        <w:t xml:space="preserve">:  </w:t>
      </w:r>
    </w:p>
    <w:p w:rsidR="00764D80" w:rsidRPr="00DD5347" w:rsidRDefault="00764D80" w:rsidP="00764D80">
      <w:pPr>
        <w:rPr>
          <w:rFonts w:ascii="Verdana" w:hAnsi="Verdana"/>
          <w:sz w:val="16"/>
          <w:szCs w:val="16"/>
        </w:rPr>
      </w:pPr>
      <w:proofErr w:type="spellStart"/>
      <w:r w:rsidRPr="00DD5347">
        <w:rPr>
          <w:rFonts w:ascii="Verdana" w:hAnsi="Verdana"/>
          <w:sz w:val="16"/>
          <w:szCs w:val="16"/>
        </w:rPr>
        <w:t>Gladwell</w:t>
      </w:r>
      <w:proofErr w:type="spellEnd"/>
      <w:r w:rsidRPr="00DD5347">
        <w:rPr>
          <w:rFonts w:ascii="Verdana" w:hAnsi="Verdana"/>
          <w:sz w:val="16"/>
          <w:szCs w:val="16"/>
        </w:rPr>
        <w:t xml:space="preserve">, Malcolm.  2000.  </w:t>
      </w:r>
      <w:r w:rsidRPr="00DD5347">
        <w:rPr>
          <w:rFonts w:ascii="Verdana" w:hAnsi="Verdana"/>
          <w:i/>
          <w:sz w:val="16"/>
          <w:szCs w:val="16"/>
        </w:rPr>
        <w:t>The Tipping Point: How Little Things Can Make a Big Difference</w:t>
      </w:r>
      <w:r w:rsidRPr="00DD5347">
        <w:rPr>
          <w:rFonts w:ascii="Verdana" w:hAnsi="Verdana"/>
          <w:sz w:val="16"/>
          <w:szCs w:val="16"/>
        </w:rPr>
        <w:t>.  New York: Little Brown.</w:t>
      </w:r>
    </w:p>
    <w:p w:rsidR="00764D80" w:rsidRPr="00DD5347" w:rsidRDefault="00764D80" w:rsidP="00764D80">
      <w:pPr>
        <w:rPr>
          <w:rStyle w:val="reference-accessdate"/>
          <w:rFonts w:ascii="Verdana" w:hAnsi="Verdana" w:cs="Arial"/>
          <w:color w:val="000000"/>
          <w:sz w:val="16"/>
          <w:szCs w:val="16"/>
        </w:rPr>
      </w:pPr>
      <w:proofErr w:type="spellStart"/>
      <w:r w:rsidRPr="00DD5347">
        <w:rPr>
          <w:rStyle w:val="apple-style-span"/>
          <w:rFonts w:ascii="Verdana" w:hAnsi="Verdana" w:cs="Arial"/>
          <w:color w:val="000000"/>
          <w:sz w:val="16"/>
          <w:szCs w:val="16"/>
        </w:rPr>
        <w:t>Marrs</w:t>
      </w:r>
      <w:proofErr w:type="spellEnd"/>
      <w:r w:rsidRPr="00DD5347">
        <w:rPr>
          <w:rStyle w:val="apple-style-span"/>
          <w:rFonts w:ascii="Verdana" w:hAnsi="Verdana" w:cs="Arial"/>
          <w:color w:val="000000"/>
          <w:sz w:val="16"/>
          <w:szCs w:val="16"/>
        </w:rPr>
        <w:t>, Scott (May 8, 2006).</w:t>
      </w:r>
      <w:r w:rsidRPr="00DD5347">
        <w:rPr>
          <w:rStyle w:val="apple-converted-space"/>
          <w:rFonts w:ascii="Verdana" w:hAnsi="Verdana" w:cs="Arial"/>
          <w:color w:val="000000"/>
          <w:sz w:val="16"/>
          <w:szCs w:val="16"/>
        </w:rPr>
        <w:t> </w:t>
      </w:r>
      <w:r w:rsidRPr="00DD5347">
        <w:rPr>
          <w:rStyle w:val="apple-style-span"/>
          <w:rFonts w:ascii="Verdana" w:hAnsi="Verdana" w:cs="Arial"/>
          <w:color w:val="000000"/>
          <w:sz w:val="16"/>
          <w:szCs w:val="16"/>
        </w:rPr>
        <w:t xml:space="preserve">"Viral videos publicize- but infringe.” </w:t>
      </w:r>
      <w:proofErr w:type="gramStart"/>
      <w:r w:rsidRPr="00DD5347">
        <w:rPr>
          <w:rStyle w:val="apple-style-span"/>
          <w:rFonts w:ascii="Verdana" w:hAnsi="Verdana" w:cs="Arial"/>
          <w:i/>
          <w:color w:val="000000"/>
          <w:sz w:val="16"/>
          <w:szCs w:val="16"/>
        </w:rPr>
        <w:t>The National Law Journal</w:t>
      </w:r>
      <w:r w:rsidRPr="00DD5347">
        <w:rPr>
          <w:rStyle w:val="reference-accessdate"/>
          <w:rFonts w:ascii="Verdana" w:hAnsi="Verdana" w:cs="Arial"/>
          <w:color w:val="000000"/>
          <w:sz w:val="16"/>
          <w:szCs w:val="16"/>
        </w:rPr>
        <w:t>.</w:t>
      </w:r>
      <w:proofErr w:type="gramEnd"/>
    </w:p>
    <w:p w:rsidR="00764D80" w:rsidRPr="00DD5347" w:rsidRDefault="00764D80" w:rsidP="00764D80">
      <w:pPr>
        <w:rPr>
          <w:rFonts w:ascii="Verdana" w:hAnsi="Verdana" w:cs="Arial"/>
          <w:color w:val="000000"/>
          <w:sz w:val="16"/>
          <w:szCs w:val="16"/>
        </w:rPr>
      </w:pPr>
      <w:r w:rsidRPr="00DD5347">
        <w:rPr>
          <w:rStyle w:val="reference-accessdate"/>
          <w:rFonts w:ascii="Verdana" w:hAnsi="Verdana" w:cs="Arial"/>
          <w:color w:val="000000"/>
          <w:sz w:val="16"/>
          <w:szCs w:val="16"/>
        </w:rPr>
        <w:t xml:space="preserve">Witt, April. (May 31, 2009). </w:t>
      </w:r>
      <w:proofErr w:type="gramStart"/>
      <w:r w:rsidRPr="00DD5347">
        <w:rPr>
          <w:rStyle w:val="reference-accessdate"/>
          <w:rFonts w:ascii="Verdana" w:hAnsi="Verdana" w:cs="Arial"/>
          <w:color w:val="000000"/>
          <w:sz w:val="16"/>
          <w:szCs w:val="16"/>
        </w:rPr>
        <w:t>“Going Viral.”</w:t>
      </w:r>
      <w:proofErr w:type="gramEnd"/>
      <w:r w:rsidRPr="00DD5347">
        <w:rPr>
          <w:rStyle w:val="reference-accessdate"/>
          <w:rFonts w:ascii="Verdana" w:hAnsi="Verdana" w:cs="Arial"/>
          <w:color w:val="000000"/>
          <w:sz w:val="16"/>
          <w:szCs w:val="16"/>
        </w:rPr>
        <w:t xml:space="preserve"> </w:t>
      </w:r>
      <w:proofErr w:type="gramStart"/>
      <w:r w:rsidRPr="00DD5347">
        <w:rPr>
          <w:rStyle w:val="reference-accessdate"/>
          <w:rFonts w:ascii="Verdana" w:hAnsi="Verdana" w:cs="Arial"/>
          <w:i/>
          <w:color w:val="000000"/>
          <w:sz w:val="16"/>
          <w:szCs w:val="16"/>
        </w:rPr>
        <w:t>Washington Post</w:t>
      </w:r>
      <w:r w:rsidRPr="00DD5347">
        <w:rPr>
          <w:rStyle w:val="reference-accessdate"/>
          <w:rFonts w:ascii="Verdana" w:hAnsi="Verdana" w:cs="Arial"/>
          <w:color w:val="000000"/>
          <w:sz w:val="16"/>
          <w:szCs w:val="16"/>
        </w:rPr>
        <w:t>.</w:t>
      </w:r>
      <w:proofErr w:type="gramEnd"/>
    </w:p>
    <w:p w:rsidR="00DD5347" w:rsidRDefault="00DD5347" w:rsidP="00764D80">
      <w:pPr>
        <w:rPr>
          <w:rFonts w:ascii="Verdana" w:hAnsi="Verdana"/>
          <w:sz w:val="20"/>
          <w:szCs w:val="20"/>
        </w:rPr>
      </w:pPr>
    </w:p>
    <w:sectPr w:rsidR="00DD5347" w:rsidSect="003A70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F462C"/>
    <w:multiLevelType w:val="hybridMultilevel"/>
    <w:tmpl w:val="DC8E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066E54"/>
    <w:multiLevelType w:val="hybridMultilevel"/>
    <w:tmpl w:val="4594A1C4"/>
    <w:lvl w:ilvl="0" w:tplc="FEF8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896F42"/>
    <w:multiLevelType w:val="hybridMultilevel"/>
    <w:tmpl w:val="BBB6C628"/>
    <w:lvl w:ilvl="0" w:tplc="E0D61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C1162"/>
    <w:rsid w:val="00074D17"/>
    <w:rsid w:val="000E515E"/>
    <w:rsid w:val="001333FA"/>
    <w:rsid w:val="00214BE4"/>
    <w:rsid w:val="002402FC"/>
    <w:rsid w:val="003127D5"/>
    <w:rsid w:val="00323D62"/>
    <w:rsid w:val="003A70B6"/>
    <w:rsid w:val="003B1614"/>
    <w:rsid w:val="003B664E"/>
    <w:rsid w:val="00503EBC"/>
    <w:rsid w:val="00543603"/>
    <w:rsid w:val="005A311E"/>
    <w:rsid w:val="00695443"/>
    <w:rsid w:val="006E594C"/>
    <w:rsid w:val="00764D80"/>
    <w:rsid w:val="007A03E9"/>
    <w:rsid w:val="007F38FF"/>
    <w:rsid w:val="009D1EDF"/>
    <w:rsid w:val="00AC1162"/>
    <w:rsid w:val="00B44751"/>
    <w:rsid w:val="00B5424A"/>
    <w:rsid w:val="00C7644F"/>
    <w:rsid w:val="00CA74C7"/>
    <w:rsid w:val="00CF2C3F"/>
    <w:rsid w:val="00DD5347"/>
    <w:rsid w:val="00E95184"/>
    <w:rsid w:val="00F95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0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1162"/>
    <w:pPr>
      <w:ind w:left="720"/>
      <w:contextualSpacing/>
    </w:pPr>
  </w:style>
  <w:style w:type="character" w:customStyle="1" w:styleId="apple-style-span">
    <w:name w:val="apple-style-span"/>
    <w:basedOn w:val="DefaultParagraphFont"/>
    <w:rsid w:val="00695443"/>
  </w:style>
  <w:style w:type="character" w:customStyle="1" w:styleId="apple-converted-space">
    <w:name w:val="apple-converted-space"/>
    <w:basedOn w:val="DefaultParagraphFont"/>
    <w:rsid w:val="00695443"/>
  </w:style>
  <w:style w:type="character" w:styleId="Hyperlink">
    <w:name w:val="Hyperlink"/>
    <w:basedOn w:val="DefaultParagraphFont"/>
    <w:uiPriority w:val="99"/>
    <w:semiHidden/>
    <w:unhideWhenUsed/>
    <w:rsid w:val="00695443"/>
    <w:rPr>
      <w:color w:val="0000FF"/>
      <w:u w:val="single"/>
    </w:rPr>
  </w:style>
  <w:style w:type="character" w:customStyle="1" w:styleId="reference-accessdate">
    <w:name w:val="reference-accessdate"/>
    <w:basedOn w:val="DefaultParagraphFont"/>
    <w:rsid w:val="006954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Jones</dc:creator>
  <cp:lastModifiedBy>Ray Jones</cp:lastModifiedBy>
  <cp:revision>3</cp:revision>
  <cp:lastPrinted>2012-01-12T01:11:00Z</cp:lastPrinted>
  <dcterms:created xsi:type="dcterms:W3CDTF">2012-01-12T01:11:00Z</dcterms:created>
  <dcterms:modified xsi:type="dcterms:W3CDTF">2012-01-12T01:15:00Z</dcterms:modified>
</cp:coreProperties>
</file>