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left w:w="0" w:type="dxa"/>
          <w:right w:w="0" w:type="dxa"/>
        </w:tblCellMar>
        <w:tblLook w:val="04A0" w:firstRow="1" w:lastRow="0" w:firstColumn="1" w:lastColumn="0" w:noHBand="0" w:noVBand="1"/>
      </w:tblPr>
      <w:tblGrid>
        <w:gridCol w:w="9360"/>
      </w:tblGrid>
      <w:tr w:rsidR="00D35FA1" w:rsidRPr="00D35FA1">
        <w:trPr>
          <w:tblCellSpacing w:w="15" w:type="dxa"/>
        </w:trPr>
        <w:tc>
          <w:tcPr>
            <w:tcW w:w="0" w:type="auto"/>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9254"/>
            </w:tblGrid>
            <w:tr w:rsidR="00D35FA1" w:rsidRPr="00D35FA1" w:rsidTr="00D35FA1">
              <w:tc>
                <w:tcPr>
                  <w:tcW w:w="0" w:type="auto"/>
                  <w:tcBorders>
                    <w:top w:val="single" w:sz="6" w:space="0" w:color="E1EAF1"/>
                    <w:left w:val="single" w:sz="6" w:space="0" w:color="E1EAF1"/>
                    <w:bottom w:val="single" w:sz="6" w:space="0" w:color="E1EAF1"/>
                    <w:right w:val="single" w:sz="6" w:space="0" w:color="E1EAF1"/>
                  </w:tcBorders>
                  <w:shd w:val="clear" w:color="auto" w:fill="E1EAF1"/>
                  <w:noWrap/>
                  <w:tcMar>
                    <w:top w:w="15" w:type="dxa"/>
                    <w:left w:w="15" w:type="dxa"/>
                    <w:bottom w:w="15" w:type="dxa"/>
                    <w:right w:w="15" w:type="dxa"/>
                  </w:tcMar>
                  <w:vAlign w:val="center"/>
                  <w:hideMark/>
                </w:tcPr>
                <w:p w:rsidR="00D35FA1" w:rsidRPr="00D35FA1" w:rsidRDefault="00D35FA1" w:rsidP="00D35FA1">
                  <w:pPr>
                    <w:spacing w:after="0" w:line="240" w:lineRule="auto"/>
                    <w:rPr>
                      <w:rFonts w:ascii="Arial" w:eastAsia="Times New Roman" w:hAnsi="Arial" w:cs="Arial"/>
                      <w:b/>
                      <w:bCs/>
                      <w:color w:val="3F3566"/>
                      <w:sz w:val="20"/>
                      <w:szCs w:val="20"/>
                    </w:rPr>
                  </w:pPr>
                  <w:r w:rsidRPr="00D35FA1">
                    <w:rPr>
                      <w:rFonts w:ascii="Arial" w:eastAsia="Times New Roman" w:hAnsi="Arial" w:cs="Arial"/>
                      <w:b/>
                      <w:bCs/>
                      <w:color w:val="3F3566"/>
                      <w:sz w:val="20"/>
                      <w:szCs w:val="20"/>
                    </w:rPr>
                    <w:t>Overview  </w:t>
                  </w:r>
                </w:p>
              </w:tc>
            </w:tr>
            <w:tr w:rsidR="00D35FA1" w:rsidRPr="00D35FA1" w:rsidTr="00D35FA1">
              <w:tc>
                <w:tcPr>
                  <w:tcW w:w="0" w:type="auto"/>
                  <w:tcMar>
                    <w:top w:w="15" w:type="dxa"/>
                    <w:left w:w="15" w:type="dxa"/>
                    <w:bottom w:w="15" w:type="dxa"/>
                    <w:right w:w="15" w:type="dxa"/>
                  </w:tcMar>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224"/>
                  </w:tblGrid>
                  <w:tr w:rsidR="00D35FA1" w:rsidRPr="00D35FA1">
                    <w:trPr>
                      <w:tblCellSpacing w:w="15" w:type="dxa"/>
                    </w:trPr>
                    <w:tc>
                      <w:tcPr>
                        <w:tcW w:w="5000" w:type="pct"/>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CMOS supports base-level and theater distribution center movement traffic management. It is used at Air Force, Marine Corps and selected Navy and Army activities around the world. While the Department of Defense defines its business enterprise architecture and develops appropriate enterprise systems solutions, CMOS continues to provide effective traffic management support to the warfighter in a low-cost sustainment posture. </w:t>
                        </w:r>
                      </w:p>
                    </w:tc>
                  </w:tr>
                </w:tbl>
                <w:p w:rsidR="00D35FA1" w:rsidRPr="00D35FA1" w:rsidRDefault="00D35FA1" w:rsidP="00D35FA1">
                  <w:pPr>
                    <w:spacing w:after="0" w:line="240" w:lineRule="auto"/>
                    <w:rPr>
                      <w:rFonts w:ascii="Arial" w:eastAsia="Times New Roman" w:hAnsi="Arial" w:cs="Arial"/>
                      <w:sz w:val="18"/>
                      <w:szCs w:val="18"/>
                    </w:rPr>
                  </w:pPr>
                </w:p>
              </w:tc>
            </w:tr>
            <w:tr w:rsidR="00D35FA1" w:rsidRPr="00D35FA1" w:rsidTr="00D35FA1">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p>
              </w:tc>
            </w:tr>
          </w:tbl>
          <w:p w:rsidR="00D35FA1" w:rsidRPr="00D35FA1" w:rsidRDefault="00D35FA1" w:rsidP="00D35FA1">
            <w:pPr>
              <w:spacing w:after="0" w:line="240" w:lineRule="auto"/>
              <w:rPr>
                <w:rFonts w:ascii="Arial" w:eastAsia="Times New Roman" w:hAnsi="Arial" w:cs="Arial"/>
                <w:sz w:val="18"/>
                <w:szCs w:val="18"/>
              </w:rPr>
            </w:pPr>
          </w:p>
        </w:tc>
      </w:tr>
      <w:tr w:rsidR="00D35FA1" w:rsidRPr="00D35FA1">
        <w:trPr>
          <w:tblCellSpacing w:w="15"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284"/>
            </w:tblGrid>
            <w:tr w:rsidR="00D35FA1" w:rsidRPr="00D35FA1">
              <w:tc>
                <w:tcPr>
                  <w:tcW w:w="0" w:type="auto"/>
                  <w:tcBorders>
                    <w:top w:val="single" w:sz="6" w:space="0" w:color="E1EAF1"/>
                    <w:left w:val="single" w:sz="6" w:space="0" w:color="E1EAF1"/>
                    <w:bottom w:val="single" w:sz="6" w:space="0" w:color="E1EAF1"/>
                    <w:right w:val="single" w:sz="6" w:space="0" w:color="E1EAF1"/>
                  </w:tcBorders>
                  <w:shd w:val="clear" w:color="auto" w:fill="E1EAF1"/>
                  <w:noWrap/>
                  <w:tcMar>
                    <w:top w:w="15" w:type="dxa"/>
                    <w:left w:w="15" w:type="dxa"/>
                    <w:bottom w:w="15" w:type="dxa"/>
                    <w:right w:w="15" w:type="dxa"/>
                  </w:tcMar>
                  <w:vAlign w:val="center"/>
                  <w:hideMark/>
                </w:tcPr>
                <w:p w:rsidR="00D35FA1" w:rsidRPr="00D35FA1" w:rsidRDefault="00D35FA1" w:rsidP="00D35FA1">
                  <w:pPr>
                    <w:spacing w:after="0" w:line="240" w:lineRule="auto"/>
                    <w:rPr>
                      <w:rFonts w:ascii="Arial" w:eastAsia="Times New Roman" w:hAnsi="Arial" w:cs="Arial"/>
                      <w:b/>
                      <w:bCs/>
                      <w:color w:val="3F3566"/>
                      <w:sz w:val="20"/>
                      <w:szCs w:val="20"/>
                    </w:rPr>
                  </w:pPr>
                  <w:r w:rsidRPr="00D35FA1">
                    <w:rPr>
                      <w:rFonts w:ascii="Arial" w:eastAsia="Times New Roman" w:hAnsi="Arial" w:cs="Arial"/>
                      <w:b/>
                      <w:bCs/>
                      <w:color w:val="3F3566"/>
                      <w:sz w:val="20"/>
                      <w:szCs w:val="20"/>
                    </w:rPr>
                    <w:t> </w:t>
                  </w:r>
                  <w:proofErr w:type="spellStart"/>
                  <w:r w:rsidRPr="00D35FA1">
                    <w:rPr>
                      <w:rFonts w:ascii="Arial" w:eastAsia="Times New Roman" w:hAnsi="Arial" w:cs="Arial"/>
                      <w:b/>
                      <w:bCs/>
                      <w:color w:val="3F3566"/>
                      <w:sz w:val="20"/>
                      <w:szCs w:val="20"/>
                    </w:rPr>
                    <w:t>Misc</w:t>
                  </w:r>
                  <w:proofErr w:type="spellEnd"/>
                  <w:r w:rsidRPr="00D35FA1">
                    <w:rPr>
                      <w:rFonts w:ascii="Arial" w:eastAsia="Times New Roman" w:hAnsi="Arial" w:cs="Arial"/>
                      <w:b/>
                      <w:bCs/>
                      <w:color w:val="3F3566"/>
                      <w:sz w:val="20"/>
                      <w:szCs w:val="20"/>
                    </w:rPr>
                    <w:t xml:space="preserve"> Documents  </w:t>
                  </w:r>
                </w:p>
              </w:tc>
            </w:tr>
            <w:tr w:rsidR="00D35FA1" w:rsidRPr="00D35FA1">
              <w:tc>
                <w:tcPr>
                  <w:tcW w:w="0" w:type="auto"/>
                  <w:tcMar>
                    <w:top w:w="15" w:type="dxa"/>
                    <w:left w:w="15" w:type="dxa"/>
                    <w:bottom w:w="15" w:type="dxa"/>
                    <w:right w:w="15" w:type="dxa"/>
                  </w:tcMar>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254"/>
                  </w:tblGrid>
                  <w:tr w:rsidR="00D35FA1" w:rsidRPr="00D35FA1">
                    <w:trPr>
                      <w:tblCellSpacing w:w="15" w:type="dxa"/>
                    </w:trPr>
                    <w:tc>
                      <w:tcPr>
                        <w:tcW w:w="5000" w:type="pct"/>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CMOS Training Classes (CMOS Training classes are on hold until further notice) </w:t>
                        </w:r>
                      </w:p>
                    </w:tc>
                  </w:tr>
                </w:tbl>
                <w:p w:rsidR="00D35FA1" w:rsidRPr="00D35FA1" w:rsidRDefault="00D35FA1" w:rsidP="00D35FA1">
                  <w:pPr>
                    <w:spacing w:after="0" w:line="240" w:lineRule="auto"/>
                    <w:rPr>
                      <w:rFonts w:ascii="Arial" w:eastAsia="Times New Roman" w:hAnsi="Arial" w:cs="Arial"/>
                      <w:sz w:val="18"/>
                      <w:szCs w:val="18"/>
                    </w:rPr>
                  </w:pPr>
                </w:p>
              </w:tc>
            </w:tr>
            <w:tr w:rsidR="00D35FA1" w:rsidRPr="00D35FA1">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p>
              </w:tc>
            </w:tr>
          </w:tbl>
          <w:p w:rsidR="00D35FA1" w:rsidRPr="00D35FA1" w:rsidRDefault="00D35FA1" w:rsidP="00D35FA1">
            <w:pPr>
              <w:spacing w:after="0" w:line="240" w:lineRule="auto"/>
              <w:rPr>
                <w:rFonts w:ascii="Arial" w:eastAsia="Times New Roman" w:hAnsi="Arial" w:cs="Arial"/>
                <w:sz w:val="18"/>
                <w:szCs w:val="18"/>
              </w:rPr>
            </w:pPr>
          </w:p>
        </w:tc>
      </w:tr>
      <w:tr w:rsidR="00D35FA1" w:rsidRPr="00D35FA1">
        <w:trPr>
          <w:tblCellSpacing w:w="15"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284"/>
            </w:tblGrid>
            <w:tr w:rsidR="00D35FA1" w:rsidRPr="00D35FA1">
              <w:tc>
                <w:tcPr>
                  <w:tcW w:w="0" w:type="auto"/>
                  <w:tcBorders>
                    <w:top w:val="single" w:sz="6" w:space="0" w:color="E1EAF1"/>
                    <w:left w:val="single" w:sz="6" w:space="0" w:color="E1EAF1"/>
                    <w:bottom w:val="single" w:sz="6" w:space="0" w:color="E1EAF1"/>
                    <w:right w:val="single" w:sz="6" w:space="0" w:color="E1EAF1"/>
                  </w:tcBorders>
                  <w:shd w:val="clear" w:color="auto" w:fill="E1EAF1"/>
                  <w:noWrap/>
                  <w:tcMar>
                    <w:top w:w="15" w:type="dxa"/>
                    <w:left w:w="15" w:type="dxa"/>
                    <w:bottom w:w="15" w:type="dxa"/>
                    <w:right w:w="15" w:type="dxa"/>
                  </w:tcMar>
                  <w:vAlign w:val="center"/>
                  <w:hideMark/>
                </w:tcPr>
                <w:p w:rsidR="00D35FA1" w:rsidRPr="00D35FA1" w:rsidRDefault="00D35FA1" w:rsidP="00D35FA1">
                  <w:pPr>
                    <w:spacing w:after="0" w:line="240" w:lineRule="auto"/>
                    <w:rPr>
                      <w:rFonts w:ascii="Arial" w:eastAsia="Times New Roman" w:hAnsi="Arial" w:cs="Arial"/>
                      <w:b/>
                      <w:bCs/>
                      <w:color w:val="3F3566"/>
                      <w:sz w:val="20"/>
                      <w:szCs w:val="20"/>
                    </w:rPr>
                  </w:pPr>
                  <w:r w:rsidRPr="00D35FA1">
                    <w:rPr>
                      <w:rFonts w:ascii="Arial" w:eastAsia="Times New Roman" w:hAnsi="Arial" w:cs="Arial"/>
                      <w:b/>
                      <w:bCs/>
                      <w:color w:val="3F3566"/>
                      <w:sz w:val="20"/>
                      <w:szCs w:val="20"/>
                    </w:rPr>
                    <w:t> Functional Capabilities  </w:t>
                  </w:r>
                </w:p>
              </w:tc>
            </w:tr>
            <w:tr w:rsidR="00D35FA1" w:rsidRPr="00D35FA1">
              <w:tc>
                <w:tcPr>
                  <w:tcW w:w="0" w:type="auto"/>
                  <w:tcMar>
                    <w:top w:w="15" w:type="dxa"/>
                    <w:left w:w="15" w:type="dxa"/>
                    <w:bottom w:w="15" w:type="dxa"/>
                    <w:right w:w="15" w:type="dxa"/>
                  </w:tcMar>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254"/>
                  </w:tblGrid>
                  <w:tr w:rsidR="00D35FA1" w:rsidRPr="00D35FA1">
                    <w:trPr>
                      <w:tblCellSpacing w:w="15" w:type="dxa"/>
                    </w:trPr>
                    <w:tc>
                      <w:tcPr>
                        <w:tcW w:w="5000" w:type="pct"/>
                        <w:vAlign w:val="center"/>
                        <w:hideMark/>
                      </w:tcPr>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Prepares and Manages All Movement Documentation </w:t>
                        </w:r>
                      </w:p>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Electronic Interface with Shippers, Commercial Carriers, and Receiving Activities </w:t>
                        </w:r>
                      </w:p>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Bar Coding and Scanning for Cargo Processing </w:t>
                        </w:r>
                      </w:p>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Provides </w:t>
                        </w:r>
                        <w:proofErr w:type="spellStart"/>
                        <w:r w:rsidRPr="00D35FA1">
                          <w:rPr>
                            <w:rFonts w:ascii="Arial" w:eastAsia="Times New Roman" w:hAnsi="Arial" w:cs="Arial"/>
                            <w:sz w:val="18"/>
                            <w:szCs w:val="18"/>
                          </w:rPr>
                          <w:t>Intransit</w:t>
                        </w:r>
                        <w:proofErr w:type="spellEnd"/>
                        <w:r w:rsidRPr="00D35FA1">
                          <w:rPr>
                            <w:rFonts w:ascii="Arial" w:eastAsia="Times New Roman" w:hAnsi="Arial" w:cs="Arial"/>
                            <w:sz w:val="18"/>
                            <w:szCs w:val="18"/>
                          </w:rPr>
                          <w:t xml:space="preserve"> Visibility </w:t>
                        </w:r>
                      </w:p>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Provides EDI Transactions to DOD and Commercial Carriers </w:t>
                        </w:r>
                      </w:p>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Plans and Manages Force Deployment </w:t>
                        </w:r>
                      </w:p>
                      <w:p w:rsidR="00D35FA1" w:rsidRPr="00D35FA1" w:rsidRDefault="00D35FA1" w:rsidP="00D35FA1">
                        <w:pPr>
                          <w:numPr>
                            <w:ilvl w:val="0"/>
                            <w:numId w:val="1"/>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Supports the Deployed AEF Warfighter </w:t>
                        </w:r>
                      </w:p>
                    </w:tc>
                  </w:tr>
                </w:tbl>
                <w:p w:rsidR="00D35FA1" w:rsidRPr="00D35FA1" w:rsidRDefault="00D35FA1" w:rsidP="00D35FA1">
                  <w:pPr>
                    <w:spacing w:after="0" w:line="240" w:lineRule="auto"/>
                    <w:rPr>
                      <w:rFonts w:ascii="Arial" w:eastAsia="Times New Roman" w:hAnsi="Arial" w:cs="Arial"/>
                      <w:sz w:val="18"/>
                      <w:szCs w:val="18"/>
                    </w:rPr>
                  </w:pPr>
                </w:p>
              </w:tc>
            </w:tr>
            <w:tr w:rsidR="00D35FA1" w:rsidRPr="00D35FA1">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p>
              </w:tc>
            </w:tr>
          </w:tbl>
          <w:p w:rsidR="00D35FA1" w:rsidRPr="00D35FA1" w:rsidRDefault="00D35FA1" w:rsidP="00D35FA1">
            <w:pPr>
              <w:spacing w:after="0" w:line="240" w:lineRule="auto"/>
              <w:rPr>
                <w:rFonts w:ascii="Arial" w:eastAsia="Times New Roman" w:hAnsi="Arial" w:cs="Arial"/>
                <w:sz w:val="18"/>
                <w:szCs w:val="18"/>
              </w:rPr>
            </w:pPr>
          </w:p>
        </w:tc>
      </w:tr>
      <w:tr w:rsidR="00D35FA1" w:rsidRPr="00D35FA1">
        <w:trPr>
          <w:tblCellSpacing w:w="15"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284"/>
            </w:tblGrid>
            <w:tr w:rsidR="00D35FA1" w:rsidRPr="00D35FA1">
              <w:tc>
                <w:tcPr>
                  <w:tcW w:w="0" w:type="auto"/>
                  <w:tcBorders>
                    <w:top w:val="single" w:sz="6" w:space="0" w:color="E1EAF1"/>
                    <w:left w:val="single" w:sz="6" w:space="0" w:color="E1EAF1"/>
                    <w:bottom w:val="single" w:sz="6" w:space="0" w:color="E1EAF1"/>
                    <w:right w:val="single" w:sz="6" w:space="0" w:color="E1EAF1"/>
                  </w:tcBorders>
                  <w:shd w:val="clear" w:color="auto" w:fill="E1EAF1"/>
                  <w:noWrap/>
                  <w:tcMar>
                    <w:top w:w="15" w:type="dxa"/>
                    <w:left w:w="15" w:type="dxa"/>
                    <w:bottom w:w="15" w:type="dxa"/>
                    <w:right w:w="15" w:type="dxa"/>
                  </w:tcMar>
                  <w:vAlign w:val="center"/>
                  <w:hideMark/>
                </w:tcPr>
                <w:p w:rsidR="00D35FA1" w:rsidRPr="00D35FA1" w:rsidRDefault="00D35FA1" w:rsidP="00D35FA1">
                  <w:pPr>
                    <w:spacing w:after="0" w:line="240" w:lineRule="auto"/>
                    <w:rPr>
                      <w:rFonts w:ascii="Arial" w:eastAsia="Times New Roman" w:hAnsi="Arial" w:cs="Arial"/>
                      <w:b/>
                      <w:bCs/>
                      <w:color w:val="3F3566"/>
                      <w:sz w:val="20"/>
                      <w:szCs w:val="20"/>
                    </w:rPr>
                  </w:pPr>
                  <w:r w:rsidRPr="00D35FA1">
                    <w:rPr>
                      <w:rFonts w:ascii="Arial" w:eastAsia="Times New Roman" w:hAnsi="Arial" w:cs="Arial"/>
                      <w:b/>
                      <w:bCs/>
                      <w:color w:val="3F3566"/>
                      <w:sz w:val="20"/>
                      <w:szCs w:val="20"/>
                    </w:rPr>
                    <w:t> Technical Capabilities  </w:t>
                  </w:r>
                </w:p>
              </w:tc>
            </w:tr>
            <w:tr w:rsidR="00D35FA1" w:rsidRPr="00D35FA1">
              <w:tc>
                <w:tcPr>
                  <w:tcW w:w="0" w:type="auto"/>
                  <w:tcMar>
                    <w:top w:w="15" w:type="dxa"/>
                    <w:left w:w="15" w:type="dxa"/>
                    <w:bottom w:w="15" w:type="dxa"/>
                    <w:right w:w="15" w:type="dxa"/>
                  </w:tcMar>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254"/>
                  </w:tblGrid>
                  <w:tr w:rsidR="00D35FA1" w:rsidRPr="00D35FA1">
                    <w:trPr>
                      <w:tblCellSpacing w:w="15" w:type="dxa"/>
                    </w:trPr>
                    <w:tc>
                      <w:tcPr>
                        <w:tcW w:w="5000" w:type="pct"/>
                        <w:vAlign w:val="center"/>
                        <w:hideMark/>
                      </w:tcPr>
                      <w:p w:rsidR="00D35FA1" w:rsidRPr="00D35FA1" w:rsidRDefault="00D35FA1" w:rsidP="00D35FA1">
                        <w:pPr>
                          <w:numPr>
                            <w:ilvl w:val="0"/>
                            <w:numId w:val="2"/>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Distributed Processing with Client/Server Concept, transitioning to regionalized servers </w:t>
                        </w:r>
                      </w:p>
                      <w:p w:rsidR="00D35FA1" w:rsidRPr="00D35FA1" w:rsidRDefault="00D35FA1" w:rsidP="00D35FA1">
                        <w:pPr>
                          <w:numPr>
                            <w:ilvl w:val="0"/>
                            <w:numId w:val="2"/>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Bar Coding, Scanning, and RF - Capable Hand-Held Terminal Applications </w:t>
                        </w:r>
                      </w:p>
                      <w:p w:rsidR="00D35FA1" w:rsidRPr="00D35FA1" w:rsidRDefault="00D35FA1" w:rsidP="00D35FA1">
                        <w:pPr>
                          <w:numPr>
                            <w:ilvl w:val="0"/>
                            <w:numId w:val="2"/>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On-line Defense Data Network for Worldwide Communications </w:t>
                        </w:r>
                      </w:p>
                      <w:p w:rsidR="00D35FA1" w:rsidRPr="00D35FA1" w:rsidRDefault="00D35FA1" w:rsidP="00D35FA1">
                        <w:pPr>
                          <w:numPr>
                            <w:ilvl w:val="0"/>
                            <w:numId w:val="2"/>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Integration of Code Written in Seven Languages </w:t>
                        </w:r>
                      </w:p>
                      <w:p w:rsidR="00D35FA1" w:rsidRPr="00D35FA1" w:rsidRDefault="00D35FA1" w:rsidP="00D35FA1">
                        <w:pPr>
                          <w:numPr>
                            <w:ilvl w:val="0"/>
                            <w:numId w:val="2"/>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Electronic Commerce/Electronic Data Interchange (EC/EDI) </w:t>
                        </w:r>
                      </w:p>
                      <w:p w:rsidR="00D35FA1" w:rsidRPr="00D35FA1" w:rsidRDefault="00D35FA1" w:rsidP="00D35FA1">
                        <w:pPr>
                          <w:numPr>
                            <w:ilvl w:val="0"/>
                            <w:numId w:val="2"/>
                          </w:numPr>
                          <w:spacing w:before="100" w:beforeAutospacing="1" w:after="100" w:afterAutospacing="1" w:line="240" w:lineRule="auto"/>
                          <w:rPr>
                            <w:rFonts w:ascii="Arial" w:eastAsia="Times New Roman" w:hAnsi="Arial" w:cs="Arial"/>
                            <w:sz w:val="18"/>
                            <w:szCs w:val="18"/>
                          </w:rPr>
                        </w:pPr>
                        <w:r w:rsidRPr="00D35FA1">
                          <w:rPr>
                            <w:rFonts w:ascii="Arial" w:eastAsia="Times New Roman" w:hAnsi="Arial" w:cs="Arial"/>
                            <w:sz w:val="18"/>
                            <w:szCs w:val="18"/>
                          </w:rPr>
                          <w:t xml:space="preserve">Windows </w:t>
                        </w:r>
                        <w:proofErr w:type="spellStart"/>
                        <w:r w:rsidRPr="00D35FA1">
                          <w:rPr>
                            <w:rFonts w:ascii="Arial" w:eastAsia="Times New Roman" w:hAnsi="Arial" w:cs="Arial"/>
                            <w:sz w:val="18"/>
                            <w:szCs w:val="18"/>
                          </w:rPr>
                          <w:t>NT,Windows</w:t>
                        </w:r>
                        <w:proofErr w:type="spellEnd"/>
                        <w:r w:rsidRPr="00D35FA1">
                          <w:rPr>
                            <w:rFonts w:ascii="Arial" w:eastAsia="Times New Roman" w:hAnsi="Arial" w:cs="Arial"/>
                            <w:sz w:val="18"/>
                            <w:szCs w:val="18"/>
                          </w:rPr>
                          <w:t xml:space="preserve"> 2000 and Windows XP Based Application Supported by LAN and Existing Base Infrastructure </w:t>
                        </w:r>
                      </w:p>
                    </w:tc>
                  </w:tr>
                </w:tbl>
                <w:p w:rsidR="00D35FA1" w:rsidRPr="00D35FA1" w:rsidRDefault="00D35FA1" w:rsidP="00D35FA1">
                  <w:pPr>
                    <w:spacing w:after="0" w:line="240" w:lineRule="auto"/>
                    <w:rPr>
                      <w:rFonts w:ascii="Arial" w:eastAsia="Times New Roman" w:hAnsi="Arial" w:cs="Arial"/>
                      <w:sz w:val="18"/>
                      <w:szCs w:val="18"/>
                    </w:rPr>
                  </w:pPr>
                </w:p>
              </w:tc>
            </w:tr>
          </w:tbl>
          <w:p w:rsidR="00D35FA1" w:rsidRPr="00D35FA1" w:rsidRDefault="00D35FA1" w:rsidP="00D35FA1">
            <w:pPr>
              <w:spacing w:after="0" w:line="240" w:lineRule="auto"/>
              <w:rPr>
                <w:rFonts w:ascii="Arial" w:eastAsia="Times New Roman" w:hAnsi="Arial" w:cs="Arial"/>
                <w:sz w:val="18"/>
                <w:szCs w:val="18"/>
              </w:rPr>
            </w:pPr>
          </w:p>
        </w:tc>
      </w:tr>
    </w:tbl>
    <w:p w:rsidR="00EC34BB" w:rsidRDefault="00EC34BB">
      <w:bookmarkStart w:id="0" w:name="_GoBack"/>
      <w:bookmarkEnd w:id="0"/>
    </w:p>
    <w:p w:rsidR="00D35FA1" w:rsidRDefault="00D35FA1"/>
    <w:tbl>
      <w:tblPr>
        <w:tblW w:w="5000" w:type="pct"/>
        <w:tblCellMar>
          <w:left w:w="0" w:type="dxa"/>
          <w:right w:w="0" w:type="dxa"/>
        </w:tblCellMar>
        <w:tblLook w:val="04A0" w:firstRow="1" w:lastRow="0" w:firstColumn="1" w:lastColumn="0" w:noHBand="0" w:noVBand="1"/>
      </w:tblPr>
      <w:tblGrid>
        <w:gridCol w:w="9344"/>
      </w:tblGrid>
      <w:tr w:rsidR="00D35FA1" w:rsidRPr="00D35FA1" w:rsidTr="00D35FA1">
        <w:tc>
          <w:tcPr>
            <w:tcW w:w="0" w:type="auto"/>
            <w:tcBorders>
              <w:top w:val="single" w:sz="6" w:space="0" w:color="E1EAF1"/>
              <w:left w:val="single" w:sz="6" w:space="0" w:color="E1EAF1"/>
              <w:bottom w:val="single" w:sz="6" w:space="0" w:color="E1EAF1"/>
              <w:right w:val="single" w:sz="6" w:space="0" w:color="E1EAF1"/>
            </w:tcBorders>
            <w:shd w:val="clear" w:color="auto" w:fill="E1EAF1"/>
            <w:noWrap/>
            <w:tcMar>
              <w:top w:w="15" w:type="dxa"/>
              <w:left w:w="15" w:type="dxa"/>
              <w:bottom w:w="15" w:type="dxa"/>
              <w:right w:w="15" w:type="dxa"/>
            </w:tcMar>
            <w:vAlign w:val="center"/>
            <w:hideMark/>
          </w:tcPr>
          <w:p w:rsidR="00D35FA1" w:rsidRPr="00D35FA1" w:rsidRDefault="00D35FA1" w:rsidP="00D35FA1">
            <w:pPr>
              <w:spacing w:after="0" w:line="240" w:lineRule="auto"/>
              <w:rPr>
                <w:rFonts w:ascii="Arial" w:eastAsia="Times New Roman" w:hAnsi="Arial" w:cs="Arial"/>
                <w:b/>
                <w:bCs/>
                <w:color w:val="3F3566"/>
                <w:sz w:val="20"/>
                <w:szCs w:val="20"/>
              </w:rPr>
            </w:pPr>
            <w:r w:rsidRPr="00D35FA1">
              <w:rPr>
                <w:rFonts w:ascii="Arial" w:eastAsia="Times New Roman" w:hAnsi="Arial" w:cs="Arial"/>
                <w:b/>
                <w:bCs/>
                <w:color w:val="3F3566"/>
                <w:sz w:val="20"/>
                <w:szCs w:val="20"/>
              </w:rPr>
              <w:t> Frequently Asked Questions  </w:t>
            </w:r>
          </w:p>
        </w:tc>
      </w:tr>
      <w:tr w:rsidR="00D35FA1" w:rsidRPr="00D35FA1" w:rsidTr="00D35FA1">
        <w:tc>
          <w:tcPr>
            <w:tcW w:w="0" w:type="auto"/>
            <w:tcMar>
              <w:top w:w="15" w:type="dxa"/>
              <w:left w:w="15" w:type="dxa"/>
              <w:bottom w:w="15" w:type="dxa"/>
              <w:right w:w="15" w:type="dxa"/>
            </w:tcMar>
            <w:vAlign w:val="center"/>
            <w:hideMark/>
          </w:tcPr>
          <w:tbl>
            <w:tblPr>
              <w:tblW w:w="5000" w:type="pct"/>
              <w:tblCellSpacing w:w="15" w:type="dxa"/>
              <w:tblCellMar>
                <w:left w:w="0" w:type="dxa"/>
                <w:right w:w="0" w:type="dxa"/>
              </w:tblCellMar>
              <w:tblLook w:val="04A0" w:firstRow="1" w:lastRow="0" w:firstColumn="1" w:lastColumn="0" w:noHBand="0" w:noVBand="1"/>
            </w:tblPr>
            <w:tblGrid>
              <w:gridCol w:w="9314"/>
            </w:tblGrid>
            <w:tr w:rsidR="00D35FA1" w:rsidRPr="00D35FA1">
              <w:trPr>
                <w:tblCellSpacing w:w="15" w:type="dxa"/>
              </w:trPr>
              <w:tc>
                <w:tcPr>
                  <w:tcW w:w="5000" w:type="pct"/>
                  <w:tcMar>
                    <w:top w:w="60" w:type="dxa"/>
                    <w:left w:w="60" w:type="dxa"/>
                    <w:bottom w:w="60" w:type="dxa"/>
                    <w:right w:w="6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8859"/>
                  </w:tblGrid>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Q:</w:t>
                        </w:r>
                        <w:r w:rsidRPr="00D35FA1">
                          <w:rPr>
                            <w:rFonts w:ascii="Arial" w:eastAsia="Times New Roman" w:hAnsi="Arial" w:cs="Arial"/>
                            <w:sz w:val="18"/>
                            <w:szCs w:val="18"/>
                          </w:rPr>
                          <w:t xml:space="preserve">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Can I use CMOS for commercial movements during a deployment or exercise?</w:t>
                        </w:r>
                        <w:r w:rsidRPr="00D35FA1">
                          <w:rPr>
                            <w:rFonts w:ascii="Arial" w:eastAsia="Times New Roman" w:hAnsi="Arial" w:cs="Arial"/>
                            <w:sz w:val="18"/>
                            <w:szCs w:val="18"/>
                          </w:rPr>
                          <w:t xml:space="preserve"> </w:t>
                        </w: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A: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Yes. Due to the increase of stateside bases deploying via surface modes; specific guidance was included in the Deployment/Exercise Training guide. The process of completing a GBL or CBL differs very little from peacetime to wartime. The major difference, is adding Chalk numbers and DSOE ID's. For further guidance, please go back to our home page and download the 4.2.3 Deployment/Exercise Training Guides. </w:t>
                        </w:r>
                      </w:p>
                    </w:tc>
                  </w:tr>
                  <w:tr w:rsidR="00D35FA1" w:rsidRPr="00D35FA1">
                    <w:trPr>
                      <w:tblCellSpacing w:w="15" w:type="dxa"/>
                    </w:trPr>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p>
                    </w:tc>
                    <w:tc>
                      <w:tcPr>
                        <w:tcW w:w="0" w:type="auto"/>
                        <w:vAlign w:val="center"/>
                        <w:hideMark/>
                      </w:tcPr>
                      <w:p w:rsidR="00D35FA1" w:rsidRPr="00D35FA1" w:rsidRDefault="00D35FA1" w:rsidP="00D35FA1">
                        <w:pPr>
                          <w:spacing w:after="0" w:line="240" w:lineRule="auto"/>
                          <w:rPr>
                            <w:rFonts w:ascii="Times New Roman" w:eastAsia="Times New Roman" w:hAnsi="Times New Roman" w:cs="Times New Roman"/>
                            <w:sz w:val="20"/>
                            <w:szCs w:val="20"/>
                          </w:rPr>
                        </w:pP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Q:</w:t>
                        </w:r>
                        <w:r w:rsidRPr="00D35FA1">
                          <w:rPr>
                            <w:rFonts w:ascii="Arial" w:eastAsia="Times New Roman" w:hAnsi="Arial" w:cs="Arial"/>
                            <w:sz w:val="18"/>
                            <w:szCs w:val="18"/>
                          </w:rPr>
                          <w:t xml:space="preserve">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In-transit visibility is a hot issue. What role does CMOS play?</w:t>
                        </w:r>
                        <w:r w:rsidRPr="00D35FA1">
                          <w:rPr>
                            <w:rFonts w:ascii="Arial" w:eastAsia="Times New Roman" w:hAnsi="Arial" w:cs="Arial"/>
                            <w:sz w:val="18"/>
                            <w:szCs w:val="18"/>
                          </w:rPr>
                          <w:t xml:space="preserve"> </w:t>
                        </w: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A: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In-Transit Visibility (ITV) is the capability to track cargo and passenger movements world-wide. ITV, combined with in-storage visibility and in-repair visibility, give managers Total Asset Visibility or TAV. When cargo and passenger movements are released using CMOS, an electronic message is sent to the </w:t>
                        </w:r>
                        <w:hyperlink r:id="rId5" w:history="1">
                          <w:r w:rsidRPr="00D35FA1">
                            <w:rPr>
                              <w:rFonts w:ascii="Arial" w:eastAsia="Times New Roman" w:hAnsi="Arial" w:cs="Arial"/>
                              <w:color w:val="00008B"/>
                              <w:sz w:val="18"/>
                              <w:szCs w:val="18"/>
                            </w:rPr>
                            <w:t>Global Transportation Network (GTN)</w:t>
                          </w:r>
                        </w:hyperlink>
                        <w:r w:rsidRPr="00D35FA1">
                          <w:rPr>
                            <w:rFonts w:ascii="Arial" w:eastAsia="Times New Roman" w:hAnsi="Arial" w:cs="Arial"/>
                            <w:sz w:val="18"/>
                            <w:szCs w:val="18"/>
                          </w:rPr>
                          <w:t xml:space="preserve">. The data in GTN can be queried in several different ways, depending on what information is desired. For example, a query could be run to locate an item by TCN. The ability of CMOS to send data to GTN is what gives users ITV. In addition, CMOS sends advance shipping notices to receiving CMOS stations. When an asset arrives, the shipping data is already resident on the receiving station's CMOS system, permitting instant in-checking and completing ITV. </w:t>
                        </w:r>
                      </w:p>
                    </w:tc>
                  </w:tr>
                  <w:tr w:rsidR="00D35FA1" w:rsidRPr="00D35FA1">
                    <w:trPr>
                      <w:tblCellSpacing w:w="15" w:type="dxa"/>
                    </w:trPr>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p>
                    </w:tc>
                    <w:tc>
                      <w:tcPr>
                        <w:tcW w:w="0" w:type="auto"/>
                        <w:vAlign w:val="center"/>
                        <w:hideMark/>
                      </w:tcPr>
                      <w:p w:rsidR="00D35FA1" w:rsidRPr="00D35FA1" w:rsidRDefault="00D35FA1" w:rsidP="00D35FA1">
                        <w:pPr>
                          <w:spacing w:after="0" w:line="240" w:lineRule="auto"/>
                          <w:rPr>
                            <w:rFonts w:ascii="Times New Roman" w:eastAsia="Times New Roman" w:hAnsi="Times New Roman" w:cs="Times New Roman"/>
                            <w:sz w:val="20"/>
                            <w:szCs w:val="20"/>
                          </w:rPr>
                        </w:pP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lastRenderedPageBreak/>
                          <w:t>Q:</w:t>
                        </w:r>
                        <w:r w:rsidRPr="00D35FA1">
                          <w:rPr>
                            <w:rFonts w:ascii="Arial" w:eastAsia="Times New Roman" w:hAnsi="Arial" w:cs="Arial"/>
                            <w:sz w:val="18"/>
                            <w:szCs w:val="18"/>
                          </w:rPr>
                          <w:t xml:space="preserve">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What progress has been made with the Radio Frequency Hand Held Terminal (RF HHT)?</w:t>
                        </w:r>
                        <w:r w:rsidRPr="00D35FA1">
                          <w:rPr>
                            <w:rFonts w:ascii="Arial" w:eastAsia="Times New Roman" w:hAnsi="Arial" w:cs="Arial"/>
                            <w:sz w:val="18"/>
                            <w:szCs w:val="18"/>
                          </w:rPr>
                          <w:t xml:space="preserve"> </w:t>
                        </w: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A: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The RF HHT is an enhancement to the CMOS system which permits transmission of data collected by the HHT to be transmitted instantaneously to the CMOS server. Currently, before using the HHT, data must be downloaded to the HHT while the HHT is in its docking station. Once this process is finished, the HHT can be used to scan items. After scanning, the HHT must again be docked in its station to upload the data just collected to the CMOS server. The RF initiative eliminates the need to dock the HHT. Data is transmitted real-time to and from the HHT. In addition, the HHTs that came with every CMOS hardware suite already have RF capability. The RF capabilities of CMOS are in use at Eglin, Shaw, </w:t>
                        </w:r>
                        <w:proofErr w:type="spellStart"/>
                        <w:r w:rsidRPr="00D35FA1">
                          <w:rPr>
                            <w:rFonts w:ascii="Arial" w:eastAsia="Times New Roman" w:hAnsi="Arial" w:cs="Arial"/>
                            <w:sz w:val="18"/>
                            <w:szCs w:val="18"/>
                          </w:rPr>
                          <w:t>Ramstein</w:t>
                        </w:r>
                        <w:proofErr w:type="spellEnd"/>
                        <w:r w:rsidRPr="00D35FA1">
                          <w:rPr>
                            <w:rFonts w:ascii="Arial" w:eastAsia="Times New Roman" w:hAnsi="Arial" w:cs="Arial"/>
                            <w:sz w:val="18"/>
                            <w:szCs w:val="18"/>
                          </w:rPr>
                          <w:t xml:space="preserve">, </w:t>
                        </w:r>
                        <w:proofErr w:type="spellStart"/>
                        <w:r w:rsidRPr="00D35FA1">
                          <w:rPr>
                            <w:rFonts w:ascii="Arial" w:eastAsia="Times New Roman" w:hAnsi="Arial" w:cs="Arial"/>
                            <w:sz w:val="18"/>
                            <w:szCs w:val="18"/>
                          </w:rPr>
                          <w:t>Aviano</w:t>
                        </w:r>
                        <w:proofErr w:type="spellEnd"/>
                        <w:r w:rsidRPr="00D35FA1">
                          <w:rPr>
                            <w:rFonts w:ascii="Arial" w:eastAsia="Times New Roman" w:hAnsi="Arial" w:cs="Arial"/>
                            <w:sz w:val="18"/>
                            <w:szCs w:val="18"/>
                          </w:rPr>
                          <w:t xml:space="preserve">, and </w:t>
                        </w:r>
                        <w:proofErr w:type="spellStart"/>
                        <w:r w:rsidRPr="00D35FA1">
                          <w:rPr>
                            <w:rFonts w:ascii="Arial" w:eastAsia="Times New Roman" w:hAnsi="Arial" w:cs="Arial"/>
                            <w:sz w:val="18"/>
                            <w:szCs w:val="18"/>
                          </w:rPr>
                          <w:t>Spangdahlem</w:t>
                        </w:r>
                        <w:proofErr w:type="spellEnd"/>
                        <w:r w:rsidRPr="00D35FA1">
                          <w:rPr>
                            <w:rFonts w:ascii="Arial" w:eastAsia="Times New Roman" w:hAnsi="Arial" w:cs="Arial"/>
                            <w:sz w:val="18"/>
                            <w:szCs w:val="18"/>
                          </w:rPr>
                          <w:t xml:space="preserve"> AFBs and have been very successful. </w:t>
                        </w:r>
                      </w:p>
                    </w:tc>
                  </w:tr>
                  <w:tr w:rsidR="00D35FA1" w:rsidRPr="00D35FA1">
                    <w:trPr>
                      <w:tblCellSpacing w:w="15" w:type="dxa"/>
                    </w:trPr>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p>
                    </w:tc>
                    <w:tc>
                      <w:tcPr>
                        <w:tcW w:w="0" w:type="auto"/>
                        <w:vAlign w:val="center"/>
                        <w:hideMark/>
                      </w:tcPr>
                      <w:p w:rsidR="00D35FA1" w:rsidRPr="00D35FA1" w:rsidRDefault="00D35FA1" w:rsidP="00D35FA1">
                        <w:pPr>
                          <w:spacing w:after="0" w:line="240" w:lineRule="auto"/>
                          <w:rPr>
                            <w:rFonts w:ascii="Times New Roman" w:eastAsia="Times New Roman" w:hAnsi="Times New Roman" w:cs="Times New Roman"/>
                            <w:sz w:val="20"/>
                            <w:szCs w:val="20"/>
                          </w:rPr>
                        </w:pP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Q:</w:t>
                        </w:r>
                        <w:r w:rsidRPr="00D35FA1">
                          <w:rPr>
                            <w:rFonts w:ascii="Arial" w:eastAsia="Times New Roman" w:hAnsi="Arial" w:cs="Arial"/>
                            <w:sz w:val="18"/>
                            <w:szCs w:val="18"/>
                          </w:rPr>
                          <w:t xml:space="preserve">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b/>
                            <w:bCs/>
                            <w:sz w:val="18"/>
                            <w:szCs w:val="18"/>
                          </w:rPr>
                          <w:t>I have some suggestions for improving CMOS. How do I submit my suggestions?</w:t>
                        </w:r>
                        <w:r w:rsidRPr="00D35FA1">
                          <w:rPr>
                            <w:rFonts w:ascii="Arial" w:eastAsia="Times New Roman" w:hAnsi="Arial" w:cs="Arial"/>
                            <w:sz w:val="18"/>
                            <w:szCs w:val="18"/>
                          </w:rPr>
                          <w:t xml:space="preserve"> </w:t>
                        </w:r>
                      </w:p>
                    </w:tc>
                  </w:tr>
                  <w:tr w:rsidR="00D35FA1" w:rsidRPr="00D35FA1">
                    <w:trPr>
                      <w:tblCellSpacing w:w="15" w:type="dxa"/>
                    </w:trPr>
                    <w:tc>
                      <w:tcPr>
                        <w:tcW w:w="0" w:type="auto"/>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A: </w:t>
                        </w:r>
                      </w:p>
                    </w:tc>
                    <w:tc>
                      <w:tcPr>
                        <w:tcW w:w="0" w:type="auto"/>
                        <w:vAlign w:val="center"/>
                        <w:hideMark/>
                      </w:tcPr>
                      <w:p w:rsidR="00D35FA1" w:rsidRPr="00D35FA1" w:rsidRDefault="00D35FA1" w:rsidP="00D35FA1">
                        <w:pPr>
                          <w:spacing w:after="0" w:line="240" w:lineRule="auto"/>
                          <w:rPr>
                            <w:rFonts w:ascii="Arial" w:eastAsia="Times New Roman" w:hAnsi="Arial" w:cs="Arial"/>
                            <w:sz w:val="18"/>
                            <w:szCs w:val="18"/>
                          </w:rPr>
                        </w:pPr>
                        <w:r w:rsidRPr="00D35FA1">
                          <w:rPr>
                            <w:rFonts w:ascii="Arial" w:eastAsia="Times New Roman" w:hAnsi="Arial" w:cs="Arial"/>
                            <w:sz w:val="18"/>
                            <w:szCs w:val="18"/>
                          </w:rPr>
                          <w:t xml:space="preserve">Suggestions for improving CMOS should be submitted to the MAJCOM. Twice a year, MAJCOMs and Air Staff representatives meet with the CMOS Program Management Office (PMO) at a Functional Requirements Board (FRB). Air Staff and MAJCOM representatives then prioritize improvements based on general </w:t>
                        </w:r>
                        <w:proofErr w:type="gramStart"/>
                        <w:r w:rsidRPr="00D35FA1">
                          <w:rPr>
                            <w:rFonts w:ascii="Arial" w:eastAsia="Times New Roman" w:hAnsi="Arial" w:cs="Arial"/>
                            <w:sz w:val="18"/>
                            <w:szCs w:val="18"/>
                          </w:rPr>
                          <w:t>applicability</w:t>
                        </w:r>
                        <w:proofErr w:type="gramEnd"/>
                        <w:r w:rsidRPr="00D35FA1">
                          <w:rPr>
                            <w:rFonts w:ascii="Arial" w:eastAsia="Times New Roman" w:hAnsi="Arial" w:cs="Arial"/>
                            <w:sz w:val="18"/>
                            <w:szCs w:val="18"/>
                          </w:rPr>
                          <w:t>, technical difficulty, and funding availability. The decisions from the FRB are given to the CMOS PMO for implementation. If you notice a problem with CMOS, call the FAB and see if they can help. If there is still a problem, the CMOS PMO will issue a Problem Advisory Notice (PAN) with a temporary solution or work-around</w:t>
                        </w:r>
                      </w:p>
                    </w:tc>
                  </w:tr>
                </w:tbl>
                <w:p w:rsidR="00D35FA1" w:rsidRPr="00D35FA1" w:rsidRDefault="00D35FA1" w:rsidP="00D35FA1">
                  <w:pPr>
                    <w:spacing w:after="0" w:line="240" w:lineRule="auto"/>
                    <w:rPr>
                      <w:rFonts w:ascii="Arial" w:eastAsia="Times New Roman" w:hAnsi="Arial" w:cs="Arial"/>
                      <w:sz w:val="18"/>
                      <w:szCs w:val="18"/>
                    </w:rPr>
                  </w:pPr>
                </w:p>
              </w:tc>
            </w:tr>
          </w:tbl>
          <w:p w:rsidR="00D35FA1" w:rsidRPr="00D35FA1" w:rsidRDefault="00D35FA1" w:rsidP="00D35FA1">
            <w:pPr>
              <w:spacing w:after="0" w:line="240" w:lineRule="auto"/>
              <w:rPr>
                <w:rFonts w:ascii="Arial" w:eastAsia="Times New Roman" w:hAnsi="Arial" w:cs="Arial"/>
                <w:sz w:val="18"/>
                <w:szCs w:val="18"/>
              </w:rPr>
            </w:pPr>
          </w:p>
        </w:tc>
      </w:tr>
    </w:tbl>
    <w:p w:rsidR="00D35FA1" w:rsidRDefault="00D35FA1"/>
    <w:sectPr w:rsidR="00D35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E604A"/>
    <w:multiLevelType w:val="multilevel"/>
    <w:tmpl w:val="8BD2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A31D8"/>
    <w:multiLevelType w:val="multilevel"/>
    <w:tmpl w:val="EB0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A5"/>
    <w:rsid w:val="003F6AA5"/>
    <w:rsid w:val="00D35FA1"/>
    <w:rsid w:val="00EC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2CD82-181E-4146-98E6-3B0AB27A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38707">
      <w:bodyDiv w:val="1"/>
      <w:marLeft w:val="0"/>
      <w:marRight w:val="0"/>
      <w:marTop w:val="0"/>
      <w:marBottom w:val="0"/>
      <w:divBdr>
        <w:top w:val="none" w:sz="0" w:space="0" w:color="auto"/>
        <w:left w:val="none" w:sz="0" w:space="0" w:color="auto"/>
        <w:bottom w:val="none" w:sz="0" w:space="0" w:color="auto"/>
        <w:right w:val="none" w:sz="0" w:space="0" w:color="auto"/>
      </w:divBdr>
      <w:divsChild>
        <w:div w:id="1021905254">
          <w:marLeft w:val="0"/>
          <w:marRight w:val="0"/>
          <w:marTop w:val="0"/>
          <w:marBottom w:val="0"/>
          <w:divBdr>
            <w:top w:val="none" w:sz="0" w:space="0" w:color="auto"/>
            <w:left w:val="none" w:sz="0" w:space="0" w:color="auto"/>
            <w:bottom w:val="none" w:sz="0" w:space="0" w:color="auto"/>
            <w:right w:val="none" w:sz="0" w:space="0" w:color="auto"/>
          </w:divBdr>
        </w:div>
      </w:divsChild>
    </w:div>
    <w:div w:id="816651372">
      <w:bodyDiv w:val="1"/>
      <w:marLeft w:val="0"/>
      <w:marRight w:val="0"/>
      <w:marTop w:val="0"/>
      <w:marBottom w:val="0"/>
      <w:divBdr>
        <w:top w:val="none" w:sz="0" w:space="0" w:color="auto"/>
        <w:left w:val="none" w:sz="0" w:space="0" w:color="auto"/>
        <w:bottom w:val="none" w:sz="0" w:space="0" w:color="auto"/>
        <w:right w:val="none" w:sz="0" w:space="0" w:color="auto"/>
      </w:divBdr>
      <w:divsChild>
        <w:div w:id="1187478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tn.transcom.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VANESSA D MSgt USAF AFGSC AFGSC/A4RE</dc:creator>
  <cp:keywords/>
  <dc:description/>
  <cp:lastModifiedBy>CHANDLER, VANESSA D MSgt USAF AFGSC AFGSC/A4RE</cp:lastModifiedBy>
  <cp:revision>2</cp:revision>
  <dcterms:created xsi:type="dcterms:W3CDTF">2016-12-21T19:03:00Z</dcterms:created>
  <dcterms:modified xsi:type="dcterms:W3CDTF">2016-12-21T19:07:00Z</dcterms:modified>
</cp:coreProperties>
</file>