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1D" w:rsidRDefault="008A6A1D" w:rsidP="009F16EF">
      <w:pPr>
        <w:jc w:val="center"/>
        <w:rPr>
          <w:b/>
          <w:sz w:val="32"/>
        </w:rPr>
      </w:pPr>
    </w:p>
    <w:p w:rsidR="008A6A1D" w:rsidRDefault="008A6A1D" w:rsidP="008A6A1D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8A6A1D" w:rsidRDefault="008A6A1D" w:rsidP="008A6A1D">
      <w:pPr>
        <w:rPr>
          <w:b/>
          <w:sz w:val="32"/>
        </w:rPr>
      </w:pPr>
    </w:p>
    <w:p w:rsidR="008A6A1D" w:rsidRDefault="008A6A1D" w:rsidP="008A6A1D">
      <w:pPr>
        <w:jc w:val="center"/>
        <w:rPr>
          <w:sz w:val="32"/>
        </w:rPr>
      </w:pPr>
    </w:p>
    <w:p w:rsidR="008A6A1D" w:rsidRDefault="008A6A1D" w:rsidP="008A6A1D">
      <w:pPr>
        <w:jc w:val="center"/>
        <w:rPr>
          <w:sz w:val="32"/>
        </w:rPr>
      </w:pPr>
      <w:r>
        <w:rPr>
          <w:sz w:val="32"/>
        </w:rPr>
        <w:t>Signature Assignment</w:t>
      </w:r>
    </w:p>
    <w:p w:rsidR="008A6A1D" w:rsidRDefault="008A6A1D" w:rsidP="008A6A1D">
      <w:pPr>
        <w:jc w:val="center"/>
        <w:rPr>
          <w:sz w:val="32"/>
        </w:rPr>
      </w:pPr>
      <w:r>
        <w:rPr>
          <w:sz w:val="32"/>
        </w:rPr>
        <w:t>Courtney Axel</w:t>
      </w:r>
    </w:p>
    <w:p w:rsidR="008A6A1D" w:rsidRDefault="008A6A1D" w:rsidP="008A6A1D">
      <w:pPr>
        <w:jc w:val="center"/>
        <w:rPr>
          <w:sz w:val="32"/>
        </w:rPr>
      </w:pPr>
      <w:r>
        <w:rPr>
          <w:sz w:val="32"/>
        </w:rPr>
        <w:t>MTH/216</w:t>
      </w:r>
    </w:p>
    <w:p w:rsidR="008A6A1D" w:rsidRDefault="008A6A1D" w:rsidP="008A6A1D">
      <w:pPr>
        <w:jc w:val="center"/>
        <w:rPr>
          <w:sz w:val="32"/>
        </w:rPr>
      </w:pPr>
      <w:r>
        <w:rPr>
          <w:sz w:val="32"/>
        </w:rPr>
        <w:t>Dawn McNAir</w:t>
      </w:r>
    </w:p>
    <w:p w:rsidR="008A6A1D" w:rsidRDefault="008A6A1D" w:rsidP="008A6A1D">
      <w:pPr>
        <w:jc w:val="center"/>
        <w:rPr>
          <w:sz w:val="32"/>
        </w:rPr>
      </w:pPr>
      <w:r>
        <w:rPr>
          <w:sz w:val="32"/>
        </w:rPr>
        <w:t>December 5, 2016</w:t>
      </w:r>
    </w:p>
    <w:p w:rsidR="008A6A1D" w:rsidRPr="008A6A1D" w:rsidRDefault="008A6A1D" w:rsidP="008A6A1D">
      <w:pPr>
        <w:jc w:val="center"/>
        <w:rPr>
          <w:sz w:val="32"/>
        </w:rPr>
      </w:pPr>
    </w:p>
    <w:p w:rsidR="008A6A1D" w:rsidRDefault="008A6A1D" w:rsidP="009F16EF">
      <w:pPr>
        <w:jc w:val="center"/>
        <w:rPr>
          <w:b/>
          <w:sz w:val="32"/>
        </w:rPr>
      </w:pPr>
    </w:p>
    <w:p w:rsidR="008A6A1D" w:rsidRDefault="008A6A1D" w:rsidP="009F16EF">
      <w:pPr>
        <w:jc w:val="center"/>
        <w:rPr>
          <w:b/>
          <w:sz w:val="32"/>
        </w:rPr>
      </w:pPr>
    </w:p>
    <w:p w:rsidR="008A6A1D" w:rsidRDefault="008A6A1D" w:rsidP="009F16EF">
      <w:pPr>
        <w:jc w:val="center"/>
        <w:rPr>
          <w:b/>
          <w:sz w:val="32"/>
        </w:rPr>
      </w:pPr>
    </w:p>
    <w:p w:rsidR="008A6A1D" w:rsidRDefault="008A6A1D" w:rsidP="009F16EF">
      <w:pPr>
        <w:jc w:val="center"/>
        <w:rPr>
          <w:b/>
          <w:sz w:val="32"/>
        </w:rPr>
      </w:pPr>
    </w:p>
    <w:p w:rsidR="008A6A1D" w:rsidRDefault="008A6A1D" w:rsidP="009F16EF">
      <w:pPr>
        <w:jc w:val="center"/>
        <w:rPr>
          <w:b/>
          <w:sz w:val="32"/>
        </w:rPr>
      </w:pPr>
    </w:p>
    <w:p w:rsidR="008A6A1D" w:rsidRDefault="008A6A1D" w:rsidP="009F16EF">
      <w:pPr>
        <w:jc w:val="center"/>
        <w:rPr>
          <w:b/>
          <w:sz w:val="32"/>
        </w:rPr>
      </w:pPr>
    </w:p>
    <w:p w:rsidR="008A6A1D" w:rsidRDefault="008A6A1D" w:rsidP="009F16EF">
      <w:pPr>
        <w:jc w:val="center"/>
        <w:rPr>
          <w:b/>
          <w:sz w:val="32"/>
        </w:rPr>
      </w:pPr>
    </w:p>
    <w:p w:rsidR="008A6A1D" w:rsidRDefault="008A6A1D" w:rsidP="009F16EF">
      <w:pPr>
        <w:jc w:val="center"/>
        <w:rPr>
          <w:b/>
          <w:sz w:val="32"/>
        </w:rPr>
      </w:pPr>
    </w:p>
    <w:p w:rsidR="008A6A1D" w:rsidRDefault="008A6A1D" w:rsidP="009F16EF">
      <w:pPr>
        <w:jc w:val="center"/>
        <w:rPr>
          <w:b/>
          <w:sz w:val="32"/>
        </w:rPr>
      </w:pPr>
    </w:p>
    <w:p w:rsidR="008A6A1D" w:rsidRDefault="008A6A1D" w:rsidP="009F16EF">
      <w:pPr>
        <w:jc w:val="center"/>
        <w:rPr>
          <w:b/>
          <w:sz w:val="32"/>
        </w:rPr>
      </w:pPr>
    </w:p>
    <w:p w:rsidR="00DB7932" w:rsidRDefault="006C60A8" w:rsidP="008A6A1D">
      <w:pPr>
        <w:ind w:firstLine="720"/>
        <w:rPr>
          <w:b/>
          <w:sz w:val="32"/>
        </w:rPr>
      </w:pPr>
      <w:r>
        <w:rPr>
          <w:b/>
          <w:sz w:val="32"/>
        </w:rPr>
        <w:lastRenderedPageBreak/>
        <w:t>Money Spent</w:t>
      </w:r>
      <w:r w:rsidR="00965FA3">
        <w:rPr>
          <w:b/>
          <w:sz w:val="32"/>
        </w:rPr>
        <w:t xml:space="preserve"> vs Profit</w:t>
      </w:r>
      <w:r w:rsidR="003F16CB">
        <w:rPr>
          <w:b/>
          <w:sz w:val="32"/>
        </w:rPr>
        <w:t xml:space="preserve">: </w:t>
      </w:r>
      <w:r w:rsidR="00DB7932">
        <w:rPr>
          <w:b/>
          <w:sz w:val="32"/>
        </w:rPr>
        <w:t>The Cost of Doing Business</w:t>
      </w:r>
    </w:p>
    <w:p w:rsidR="00E3179D" w:rsidRDefault="00BF4538" w:rsidP="00BF4538">
      <w:pPr>
        <w:rPr>
          <w:b/>
          <w:sz w:val="28"/>
        </w:rPr>
      </w:pPr>
      <w:r>
        <w:rPr>
          <w:b/>
          <w:sz w:val="28"/>
        </w:rPr>
        <w:t>Focus question: How much money can</w:t>
      </w:r>
      <w:r w:rsidR="008A6A1D">
        <w:rPr>
          <w:b/>
          <w:sz w:val="28"/>
        </w:rPr>
        <w:t xml:space="preserve"> I spend and still be profitable?</w:t>
      </w:r>
      <w:bookmarkStart w:id="0" w:name="_GoBack"/>
      <w:bookmarkEnd w:id="0"/>
    </w:p>
    <w:p w:rsidR="00B96BA2" w:rsidRPr="00B96BA2" w:rsidRDefault="00B96BA2" w:rsidP="00BF4538">
      <w:pPr>
        <w:rPr>
          <w:b/>
          <w:sz w:val="24"/>
        </w:rPr>
      </w:pPr>
      <w:r>
        <w:rPr>
          <w:b/>
          <w:sz w:val="24"/>
        </w:rPr>
        <w:t>Provided data:</w:t>
      </w:r>
    </w:p>
    <w:tbl>
      <w:tblPr>
        <w:tblW w:w="10317" w:type="dxa"/>
        <w:tblInd w:w="-5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9"/>
        <w:gridCol w:w="1606"/>
        <w:gridCol w:w="1782"/>
        <w:gridCol w:w="2046"/>
        <w:gridCol w:w="1782"/>
        <w:gridCol w:w="1782"/>
      </w:tblGrid>
      <w:tr w:rsidR="00B96BA2" w:rsidTr="00C07C82">
        <w:trPr>
          <w:trHeight w:val="245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Soda Co.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6BA2" w:rsidTr="00C07C82">
        <w:trPr>
          <w:trHeight w:val="245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Advertising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Labor Costs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Shipping Costs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Production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Sales</w:t>
            </w:r>
          </w:p>
        </w:tc>
      </w:tr>
      <w:tr w:rsidR="00B96BA2" w:rsidTr="00C07C82">
        <w:trPr>
          <w:trHeight w:val="245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5,044,000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25,220,000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3,783,000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10,088,000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63,050,000 </w:t>
            </w:r>
          </w:p>
        </w:tc>
      </w:tr>
      <w:tr w:rsidR="00B96BA2" w:rsidTr="00C07C82">
        <w:trPr>
          <w:trHeight w:val="245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5,334,400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2,667,200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4,000,800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10,668,800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66,680,000 </w:t>
            </w:r>
          </w:p>
        </w:tc>
      </w:tr>
      <w:tr w:rsidR="00B96BA2" w:rsidTr="00C07C82">
        <w:trPr>
          <w:trHeight w:val="245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5,313,600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26,568,000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3,985,200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010CB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627</w:t>
            </w:r>
            <w:r w:rsidR="00010CB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66,420,000 </w:t>
            </w:r>
          </w:p>
        </w:tc>
      </w:tr>
      <w:tr w:rsidR="00B96BA2" w:rsidTr="00C07C82">
        <w:trPr>
          <w:trHeight w:val="245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5,239,200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26,196,000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3,929,400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010CB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478</w:t>
            </w:r>
            <w:r w:rsidR="00010CB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65,490,000 </w:t>
            </w:r>
          </w:p>
        </w:tc>
      </w:tr>
      <w:tr w:rsidR="00B96BA2" w:rsidTr="00C07C82">
        <w:trPr>
          <w:trHeight w:val="245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5,320,000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26,600,000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3,990,000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010CB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640</w:t>
            </w:r>
            <w:r w:rsidR="00010CB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66,500,000 </w:t>
            </w:r>
          </w:p>
        </w:tc>
      </w:tr>
      <w:tr w:rsidR="00B96BA2" w:rsidTr="00C07C82">
        <w:trPr>
          <w:trHeight w:val="245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6BA2" w:rsidTr="00C07C82">
        <w:trPr>
          <w:trHeight w:val="245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Pop Co.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6BA2" w:rsidTr="00C07C82">
        <w:trPr>
          <w:trHeight w:val="245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Advertising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Labor Costs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Shipping Costs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Production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Sales</w:t>
            </w:r>
          </w:p>
        </w:tc>
      </w:tr>
      <w:tr w:rsidR="00B96BA2" w:rsidTr="00C07C82">
        <w:trPr>
          <w:trHeight w:val="245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1,309,500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19,642,500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1,746,000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6,111,000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43,650,000 </w:t>
            </w:r>
          </w:p>
        </w:tc>
      </w:tr>
      <w:tr w:rsidR="00B96BA2" w:rsidTr="00C07C82">
        <w:trPr>
          <w:trHeight w:val="245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1,377,900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20,668,500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1,837,200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6,430,200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45,930,000 </w:t>
            </w:r>
          </w:p>
        </w:tc>
      </w:tr>
      <w:tr w:rsidR="00B96BA2" w:rsidTr="00C07C82">
        <w:trPr>
          <w:trHeight w:val="245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1,401,000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21,015,000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1,868,000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6,538,000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46,700,000 </w:t>
            </w:r>
          </w:p>
        </w:tc>
      </w:tr>
      <w:tr w:rsidR="00B96BA2" w:rsidTr="00C07C82">
        <w:trPr>
          <w:trHeight w:val="245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1,442,100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21,631,500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1,922,800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6,729,800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48,070,000 </w:t>
            </w:r>
          </w:p>
        </w:tc>
      </w:tr>
      <w:tr w:rsidR="00B96BA2" w:rsidTr="00C07C82">
        <w:trPr>
          <w:trHeight w:val="245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1,403,100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21,046,500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1,870,800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6,547,800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BA2" w:rsidRDefault="00B9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46,770,000 </w:t>
            </w:r>
          </w:p>
        </w:tc>
      </w:tr>
    </w:tbl>
    <w:p w:rsidR="00B96BA2" w:rsidRDefault="00B96BA2" w:rsidP="003B56C5">
      <w:pPr>
        <w:jc w:val="center"/>
        <w:rPr>
          <w:b/>
          <w:sz w:val="28"/>
        </w:rPr>
      </w:pPr>
    </w:p>
    <w:p w:rsidR="003B56C5" w:rsidRPr="00BF4538" w:rsidRDefault="003B56C5" w:rsidP="003B56C5">
      <w:pPr>
        <w:jc w:val="center"/>
        <w:rPr>
          <w:b/>
          <w:sz w:val="28"/>
        </w:rPr>
      </w:pPr>
      <w:r>
        <w:rPr>
          <w:b/>
          <w:sz w:val="28"/>
        </w:rPr>
        <w:t>Analysis of each Corporation’s</w:t>
      </w:r>
      <w:r w:rsidR="00745835">
        <w:rPr>
          <w:b/>
          <w:sz w:val="28"/>
        </w:rPr>
        <w:t xml:space="preserve"> P</w:t>
      </w:r>
      <w:r>
        <w:rPr>
          <w:b/>
          <w:sz w:val="28"/>
        </w:rPr>
        <w:t>rofit</w:t>
      </w:r>
    </w:p>
    <w:p w:rsidR="00311C3D" w:rsidRDefault="009F16EF">
      <w:r w:rsidRPr="001531D0">
        <w:rPr>
          <w:noProof/>
        </w:rPr>
        <w:drawing>
          <wp:anchor distT="0" distB="0" distL="114300" distR="114300" simplePos="0" relativeHeight="251662336" behindDoc="0" locked="0" layoutInCell="1" allowOverlap="1" wp14:anchorId="02405D25" wp14:editId="7A4212DA">
            <wp:simplePos x="0" y="0"/>
            <wp:positionH relativeFrom="column">
              <wp:posOffset>666750</wp:posOffset>
            </wp:positionH>
            <wp:positionV relativeFrom="paragraph">
              <wp:posOffset>37465</wp:posOffset>
            </wp:positionV>
            <wp:extent cx="4333875" cy="2647950"/>
            <wp:effectExtent l="0" t="0" r="9525" b="1905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1D0" w:rsidRDefault="001531D0"/>
    <w:p w:rsidR="001531D0" w:rsidRDefault="001531D0"/>
    <w:p w:rsidR="001531D0" w:rsidRDefault="001531D0"/>
    <w:p w:rsidR="00311C3D" w:rsidRDefault="00311C3D"/>
    <w:p w:rsidR="00311C3D" w:rsidRDefault="00311C3D"/>
    <w:p w:rsidR="00311C3D" w:rsidRDefault="00311C3D"/>
    <w:p w:rsidR="00311C3D" w:rsidRDefault="00311C3D"/>
    <w:p w:rsidR="00311C3D" w:rsidRDefault="00311C3D"/>
    <w:p w:rsidR="006D10C1" w:rsidRDefault="00875209">
      <w:pPr>
        <w:rPr>
          <w:sz w:val="20"/>
        </w:rPr>
      </w:pPr>
      <w:r w:rsidRPr="00927FA3">
        <w:rPr>
          <w:sz w:val="20"/>
        </w:rPr>
        <w:t>Throughout the 5 year data, Soda Co.’s profit was within a range of 19,600,000 through 20,000,000, until the las</w:t>
      </w:r>
      <w:r w:rsidR="00BA2533" w:rsidRPr="00927FA3">
        <w:rPr>
          <w:sz w:val="20"/>
        </w:rPr>
        <w:t>t year in the data set, 2015. In</w:t>
      </w:r>
      <w:r w:rsidRPr="00927FA3">
        <w:rPr>
          <w:sz w:val="20"/>
        </w:rPr>
        <w:t xml:space="preserve"> the year 2015, the corporation </w:t>
      </w:r>
      <w:r w:rsidR="00B96BA2" w:rsidRPr="00927FA3">
        <w:rPr>
          <w:sz w:val="20"/>
        </w:rPr>
        <w:t>went below the 19,000,00</w:t>
      </w:r>
      <w:r w:rsidR="00542961" w:rsidRPr="00927FA3">
        <w:rPr>
          <w:sz w:val="20"/>
        </w:rPr>
        <w:t xml:space="preserve">0 range.  </w:t>
      </w:r>
      <w:r w:rsidR="007C6DF5" w:rsidRPr="00927FA3">
        <w:rPr>
          <w:sz w:val="20"/>
        </w:rPr>
        <w:t>After c</w:t>
      </w:r>
      <w:r w:rsidR="00542961" w:rsidRPr="00927FA3">
        <w:rPr>
          <w:sz w:val="20"/>
        </w:rPr>
        <w:t>omparing 2015’</w:t>
      </w:r>
      <w:r w:rsidR="007C6DF5" w:rsidRPr="00927FA3">
        <w:rPr>
          <w:sz w:val="20"/>
        </w:rPr>
        <w:t xml:space="preserve">s revenue to previous years, we can see that 2015’s loss in profit was due to </w:t>
      </w:r>
      <w:r w:rsidR="00E62E9A" w:rsidRPr="00927FA3">
        <w:rPr>
          <w:sz w:val="20"/>
        </w:rPr>
        <w:t xml:space="preserve">a </w:t>
      </w:r>
      <w:r w:rsidR="005A0383" w:rsidRPr="00927FA3">
        <w:rPr>
          <w:sz w:val="20"/>
        </w:rPr>
        <w:t>fluctuation</w:t>
      </w:r>
      <w:r w:rsidR="007C6DF5" w:rsidRPr="00927FA3">
        <w:rPr>
          <w:sz w:val="20"/>
        </w:rPr>
        <w:t xml:space="preserve"> in </w:t>
      </w:r>
      <w:r w:rsidR="00E62E9A" w:rsidRPr="00927FA3">
        <w:rPr>
          <w:sz w:val="20"/>
        </w:rPr>
        <w:t>money usage</w:t>
      </w:r>
      <w:r w:rsidR="007C6DF5" w:rsidRPr="00927FA3">
        <w:rPr>
          <w:sz w:val="20"/>
        </w:rPr>
        <w:t xml:space="preserve"> </w:t>
      </w:r>
      <w:r w:rsidR="005A0383" w:rsidRPr="00927FA3">
        <w:rPr>
          <w:sz w:val="20"/>
        </w:rPr>
        <w:t>across all costs, even though the amount of sales constantly increased for Soda Co.</w:t>
      </w:r>
    </w:p>
    <w:p w:rsidR="006D10C1" w:rsidRDefault="00C913DA">
      <w:pPr>
        <w:rPr>
          <w:sz w:val="20"/>
        </w:rPr>
      </w:pPr>
      <w:r w:rsidRPr="000F5A52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B7E5EC" wp14:editId="08FC8AD2">
                <wp:simplePos x="0" y="0"/>
                <wp:positionH relativeFrom="column">
                  <wp:posOffset>4572000</wp:posOffset>
                </wp:positionH>
                <wp:positionV relativeFrom="paragraph">
                  <wp:posOffset>244549</wp:posOffset>
                </wp:positionV>
                <wp:extent cx="2105025" cy="1626781"/>
                <wp:effectExtent l="0" t="0" r="28575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626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A52" w:rsidRDefault="000F5A52">
                            <w:r>
                              <w:t>Calculation:</w:t>
                            </w:r>
                          </w:p>
                          <w:p w:rsidR="000F5A52" w:rsidRDefault="00DD764A">
                            <w:r>
                              <w:t>(</w:t>
                            </w:r>
                            <w:r w:rsidR="000F5A52">
                              <w:t>-171300(2016)</w:t>
                            </w:r>
                            <w:r>
                              <w:t>+(4*10^8))(0.356)</w:t>
                            </w:r>
                          </w:p>
                          <w:p w:rsidR="00DD764A" w:rsidRDefault="00DD764A">
                            <w:r>
                              <w:t>(-345340800+(4*10^8)</w:t>
                            </w:r>
                            <w:r w:rsidR="008A6A1D">
                              <w:t xml:space="preserve">  </w:t>
                            </w:r>
                            <w:r>
                              <w:t>)(0.356)</w:t>
                            </w:r>
                          </w:p>
                          <w:p w:rsidR="00DD764A" w:rsidRDefault="002C3CDB">
                            <w:r>
                              <w:t>(54659200</w:t>
                            </w:r>
                            <w:r w:rsidR="008A6A1D">
                              <w:t xml:space="preserve"> </w:t>
                            </w:r>
                            <w:r>
                              <w:t>)</w:t>
                            </w:r>
                            <w:r w:rsidR="008A6A1D">
                              <w:t xml:space="preserve"> </w:t>
                            </w:r>
                            <w:r>
                              <w:t>(0.356)</w:t>
                            </w:r>
                          </w:p>
                          <w:p w:rsidR="002C3CDB" w:rsidRDefault="002C3CDB">
                            <w:r>
                              <w:t>19458675</w:t>
                            </w:r>
                          </w:p>
                          <w:p w:rsidR="002C3CDB" w:rsidRDefault="002C3C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7E5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in;margin-top:19.25pt;width:165.75pt;height:12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">
                <v:textbox>
                  <w:txbxContent>
                    <w:p w:rsidR="000F5A52" w:rsidRDefault="000F5A52">
                      <w:r>
                        <w:t>Calculation:</w:t>
                      </w:r>
                    </w:p>
                    <w:p w:rsidR="000F5A52" w:rsidRDefault="00DD764A">
                      <w:r>
                        <w:t>(</w:t>
                      </w:r>
                      <w:r w:rsidR="000F5A52">
                        <w:t>-171300(2016)</w:t>
                      </w:r>
                      <w:r>
                        <w:t>+(4*10^8))(0.356)</w:t>
                      </w:r>
                    </w:p>
                    <w:p w:rsidR="00DD764A" w:rsidRDefault="00DD764A">
                      <w:r>
                        <w:t>(-345340800+(4*10^8)</w:t>
                      </w:r>
                      <w:r w:rsidR="008A6A1D">
                        <w:t xml:space="preserve">  </w:t>
                      </w:r>
                      <w:r>
                        <w:t>)(0.356)</w:t>
                      </w:r>
                    </w:p>
                    <w:p w:rsidR="00DD764A" w:rsidRDefault="002C3CDB">
                      <w:r>
                        <w:t>(54659200</w:t>
                      </w:r>
                      <w:r w:rsidR="008A6A1D">
                        <w:t xml:space="preserve"> </w:t>
                      </w:r>
                      <w:r>
                        <w:t>)</w:t>
                      </w:r>
                      <w:r w:rsidR="008A6A1D">
                        <w:t xml:space="preserve"> </w:t>
                      </w:r>
                      <w:r>
                        <w:t>(0.356)</w:t>
                      </w:r>
                    </w:p>
                    <w:p w:rsidR="002C3CDB" w:rsidRDefault="002C3CDB">
                      <w:r>
                        <w:t>19458675</w:t>
                      </w:r>
                    </w:p>
                    <w:p w:rsidR="002C3CDB" w:rsidRDefault="002C3CDB"/>
                  </w:txbxContent>
                </v:textbox>
              </v:shape>
            </w:pict>
          </mc:Fallback>
        </mc:AlternateContent>
      </w:r>
      <w:r w:rsidR="006D10C1">
        <w:rPr>
          <w:sz w:val="20"/>
        </w:rPr>
        <w:t xml:space="preserve">The best fit line is fairy </w:t>
      </w:r>
      <w:r w:rsidR="000E4C18">
        <w:rPr>
          <w:sz w:val="20"/>
        </w:rPr>
        <w:t>inaccurate</w:t>
      </w:r>
      <w:r w:rsidR="006D10C1">
        <w:rPr>
          <w:sz w:val="20"/>
        </w:rPr>
        <w:t xml:space="preserve">, by looking at our </w:t>
      </w:r>
      <w:r w:rsidR="006D10C1" w:rsidRPr="006D10C1">
        <w:rPr>
          <w:sz w:val="20"/>
        </w:rPr>
        <w:t>R²</w:t>
      </w:r>
      <w:r w:rsidR="006D10C1">
        <w:rPr>
          <w:sz w:val="20"/>
        </w:rPr>
        <w:t xml:space="preserve"> value is fairly lower than 1, meaning it is a rough approximation.</w:t>
      </w:r>
    </w:p>
    <w:p w:rsidR="00BC1B22" w:rsidRDefault="00DE074F">
      <w:pPr>
        <w:rPr>
          <w:sz w:val="20"/>
        </w:rPr>
      </w:pPr>
      <w:r>
        <w:rPr>
          <w:sz w:val="20"/>
        </w:rPr>
        <w:t>Prediction:</w:t>
      </w:r>
    </w:p>
    <w:p w:rsidR="00F30AE7" w:rsidRDefault="00F30AE7">
      <w:pPr>
        <w:rPr>
          <w:sz w:val="20"/>
        </w:rPr>
      </w:pPr>
      <w:r>
        <w:rPr>
          <w:sz w:val="20"/>
        </w:rPr>
        <w:t xml:space="preserve">According to the trend line, 2016’s profit would be </w:t>
      </w:r>
      <w:r w:rsidR="000F5A52">
        <w:rPr>
          <w:sz w:val="20"/>
        </w:rPr>
        <w:t>$</w:t>
      </w:r>
      <w:r w:rsidR="000D14F1">
        <w:rPr>
          <w:sz w:val="20"/>
        </w:rPr>
        <w:t>19,458,675</w:t>
      </w:r>
    </w:p>
    <w:p w:rsidR="00C913DA" w:rsidRDefault="00CA3F53">
      <w:pPr>
        <w:rPr>
          <w:sz w:val="20"/>
        </w:rPr>
      </w:pPr>
      <w:r>
        <w:rPr>
          <w:sz w:val="20"/>
        </w:rPr>
        <w:t xml:space="preserve">Soda Co. will not likely </w:t>
      </w:r>
      <w:r w:rsidR="00C63CAC">
        <w:rPr>
          <w:sz w:val="20"/>
        </w:rPr>
        <w:t xml:space="preserve">decrease in profit like the trend line shows. </w:t>
      </w:r>
      <w:r w:rsidR="002F260A">
        <w:rPr>
          <w:sz w:val="20"/>
        </w:rPr>
        <w:t>The line</w:t>
      </w:r>
      <w:r w:rsidR="007642F1">
        <w:rPr>
          <w:sz w:val="20"/>
        </w:rPr>
        <w:t xml:space="preserve"> is</w:t>
      </w:r>
      <w:r w:rsidR="002F260A">
        <w:rPr>
          <w:sz w:val="20"/>
        </w:rPr>
        <w:t xml:space="preserve"> very </w:t>
      </w:r>
    </w:p>
    <w:p w:rsidR="00DE074F" w:rsidRDefault="002F260A">
      <w:pPr>
        <w:rPr>
          <w:sz w:val="20"/>
        </w:rPr>
      </w:pPr>
      <w:r>
        <w:rPr>
          <w:sz w:val="20"/>
        </w:rPr>
        <w:t xml:space="preserve">inaccurate as shown by our </w:t>
      </w:r>
      <w:r w:rsidRPr="006D10C1">
        <w:rPr>
          <w:sz w:val="20"/>
        </w:rPr>
        <w:t>R²</w:t>
      </w:r>
      <w:r>
        <w:rPr>
          <w:sz w:val="20"/>
        </w:rPr>
        <w:t xml:space="preserve"> value. </w:t>
      </w:r>
    </w:p>
    <w:p w:rsidR="00BC1B22" w:rsidRDefault="00BC1B22">
      <w:pPr>
        <w:rPr>
          <w:sz w:val="20"/>
        </w:rPr>
      </w:pPr>
    </w:p>
    <w:p w:rsidR="00311C3D" w:rsidRPr="006D10C1" w:rsidRDefault="0015323B">
      <w:pPr>
        <w:rPr>
          <w:sz w:val="20"/>
        </w:rPr>
      </w:pPr>
      <w:r w:rsidRPr="001531D0">
        <w:rPr>
          <w:noProof/>
        </w:rPr>
        <w:drawing>
          <wp:anchor distT="0" distB="0" distL="114300" distR="114300" simplePos="0" relativeHeight="251663360" behindDoc="0" locked="0" layoutInCell="1" allowOverlap="1" wp14:anchorId="5B6645F9" wp14:editId="7D973752">
            <wp:simplePos x="0" y="0"/>
            <wp:positionH relativeFrom="column">
              <wp:posOffset>438150</wp:posOffset>
            </wp:positionH>
            <wp:positionV relativeFrom="paragraph">
              <wp:posOffset>121285</wp:posOffset>
            </wp:positionV>
            <wp:extent cx="4333875" cy="2647950"/>
            <wp:effectExtent l="0" t="0" r="9525" b="19050"/>
            <wp:wrapNone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1C3D" w:rsidRDefault="00311C3D"/>
    <w:p w:rsidR="00311C3D" w:rsidRDefault="00311C3D"/>
    <w:p w:rsidR="00311C3D" w:rsidRDefault="00311C3D"/>
    <w:p w:rsidR="00311C3D" w:rsidRDefault="00311C3D"/>
    <w:p w:rsidR="00311C3D" w:rsidRDefault="00311C3D"/>
    <w:p w:rsidR="00311C3D" w:rsidRDefault="00311C3D"/>
    <w:p w:rsidR="00647466" w:rsidRDefault="00647466"/>
    <w:p w:rsidR="00647466" w:rsidRDefault="00647466"/>
    <w:p w:rsidR="00311C3D" w:rsidRDefault="001B1D66">
      <w:r w:rsidRPr="000F5A5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EBC7D5" wp14:editId="175E140B">
                <wp:simplePos x="0" y="0"/>
                <wp:positionH relativeFrom="column">
                  <wp:posOffset>4455042</wp:posOffset>
                </wp:positionH>
                <wp:positionV relativeFrom="paragraph">
                  <wp:posOffset>639268</wp:posOffset>
                </wp:positionV>
                <wp:extent cx="2221983" cy="1626235"/>
                <wp:effectExtent l="0" t="0" r="26035" b="120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983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D66" w:rsidRDefault="001B1D66" w:rsidP="001B1D66">
                            <w:r>
                              <w:t>Calculation:</w:t>
                            </w:r>
                          </w:p>
                          <w:p w:rsidR="001B1D66" w:rsidRDefault="00CB4573" w:rsidP="001B1D66">
                            <w:r>
                              <w:t>(-284920(2016)+(6*10^8)</w:t>
                            </w:r>
                            <w:r w:rsidR="00C44A70">
                              <w:t>)</w:t>
                            </w:r>
                            <w:r w:rsidR="001B1D66">
                              <w:t>(</w:t>
                            </w:r>
                            <w:r>
                              <w:t>0.6597</w:t>
                            </w:r>
                            <w:r w:rsidR="001B1D66">
                              <w:t>)</w:t>
                            </w:r>
                          </w:p>
                          <w:p w:rsidR="001B1D66" w:rsidRDefault="00C44A70" w:rsidP="001B1D66">
                            <w:r>
                              <w:t>(-574398720+(6*10^8))(0.6597)</w:t>
                            </w:r>
                          </w:p>
                          <w:p w:rsidR="00C44A70" w:rsidRDefault="00C44A70" w:rsidP="001B1D66">
                            <w:r>
                              <w:t>(25601280)(0.6597)</w:t>
                            </w:r>
                          </w:p>
                          <w:p w:rsidR="00C44A70" w:rsidRDefault="00986A1B" w:rsidP="001B1D66">
                            <w:r>
                              <w:t>16889164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BC7D5" id="_x0000_s1027" type="#_x0000_t202" style="position:absolute;margin-left:350.8pt;margin-top:50.35pt;width:174.95pt;height:12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">
                <v:textbox>
                  <w:txbxContent>
                    <w:p w:rsidR="001B1D66" w:rsidRDefault="001B1D66" w:rsidP="001B1D66">
                      <w:r>
                        <w:t>Calculation:</w:t>
                      </w:r>
                    </w:p>
                    <w:p w:rsidR="001B1D66" w:rsidRDefault="00CB4573" w:rsidP="001B1D66">
                      <w:r>
                        <w:t>(-284920(2016)+(6*10^8)</w:t>
                      </w:r>
                      <w:r w:rsidR="00C44A70">
                        <w:t>)</w:t>
                      </w:r>
                      <w:r w:rsidR="001B1D66">
                        <w:t>(</w:t>
                      </w:r>
                      <w:r>
                        <w:t>0.6597</w:t>
                      </w:r>
                      <w:r w:rsidR="001B1D66">
                        <w:t>)</w:t>
                      </w:r>
                    </w:p>
                    <w:p w:rsidR="001B1D66" w:rsidRDefault="00C44A70" w:rsidP="001B1D66">
                      <w:r>
                        <w:t>(-574398720+(6*10^8))(0.6597)</w:t>
                      </w:r>
                    </w:p>
                    <w:p w:rsidR="00C44A70" w:rsidRDefault="00C44A70" w:rsidP="001B1D66">
                      <w:r>
                        <w:t>(25601280)(0.6597)</w:t>
                      </w:r>
                    </w:p>
                    <w:p w:rsidR="00C44A70" w:rsidRDefault="00986A1B" w:rsidP="001B1D66">
                      <w:r>
                        <w:t>16889164</w:t>
                      </w:r>
                    </w:p>
                  </w:txbxContent>
                </v:textbox>
              </v:shape>
            </w:pict>
          </mc:Fallback>
        </mc:AlternateContent>
      </w:r>
      <w:r w:rsidR="00B242C9">
        <w:t>Pop Co.’s best fit line looks similar to Soda.</w:t>
      </w:r>
      <w:r w:rsidR="008A6A1D">
        <w:t xml:space="preserve"> </w:t>
      </w:r>
      <w:r w:rsidR="00B242C9">
        <w:t>Co’</w:t>
      </w:r>
      <w:r w:rsidR="00395EFF">
        <w:t xml:space="preserve">s. If we look at their data table though, we will see that the corporation’s </w:t>
      </w:r>
      <w:r w:rsidR="00BB0479">
        <w:t xml:space="preserve">spent money was actually lower in all categories comparing 2015 to 2014, yet we saw a huge dip in between those years. </w:t>
      </w:r>
      <w:r w:rsidR="004F5845">
        <w:t xml:space="preserve">The reason this dip occurred </w:t>
      </w:r>
      <w:r w:rsidR="00814FB4">
        <w:t xml:space="preserve">was because of a decrease in sales. </w:t>
      </w:r>
      <w:r w:rsidR="00BB0479">
        <w:t xml:space="preserve"> </w:t>
      </w:r>
      <w:r w:rsidR="00395EFF">
        <w:t xml:space="preserve"> </w:t>
      </w:r>
    </w:p>
    <w:p w:rsidR="00311C3D" w:rsidRDefault="005C79D2">
      <w:r>
        <w:t>Prediction:</w:t>
      </w:r>
    </w:p>
    <w:p w:rsidR="005C79D2" w:rsidRDefault="005C79D2">
      <w:r>
        <w:t xml:space="preserve">According to the trend line, 2016’s profit would be </w:t>
      </w:r>
      <w:r w:rsidR="00C65BCD">
        <w:t>$16,889,164</w:t>
      </w:r>
    </w:p>
    <w:p w:rsidR="00311C3D" w:rsidRDefault="009615BD">
      <w:r>
        <w:t>This trend line and prediction se</w:t>
      </w:r>
      <w:r w:rsidR="008A6A1D">
        <w:t>ems much more accurate than Soda</w:t>
      </w:r>
      <w:r>
        <w:t xml:space="preserve"> Co’s </w:t>
      </w:r>
    </w:p>
    <w:p w:rsidR="009615BD" w:rsidRDefault="009615BD">
      <w:r>
        <w:t>because the R squared value is much higher and the line looks much more</w:t>
      </w:r>
    </w:p>
    <w:p w:rsidR="009615BD" w:rsidRDefault="009615BD">
      <w:r>
        <w:t>close the actual profit values.</w:t>
      </w:r>
    </w:p>
    <w:p w:rsidR="00547358" w:rsidRDefault="00547358"/>
    <w:p w:rsidR="006640C8" w:rsidRDefault="006640C8"/>
    <w:p w:rsidR="006640C8" w:rsidRDefault="006640C8">
      <w:r>
        <w:br w:type="page"/>
      </w:r>
    </w:p>
    <w:p w:rsidR="003F06A6" w:rsidRDefault="003F06A6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4356BE3" wp14:editId="1078A4BB">
            <wp:simplePos x="0" y="0"/>
            <wp:positionH relativeFrom="column">
              <wp:posOffset>-23495</wp:posOffset>
            </wp:positionH>
            <wp:positionV relativeFrom="paragraph">
              <wp:posOffset>-565150</wp:posOffset>
            </wp:positionV>
            <wp:extent cx="5486400" cy="3200400"/>
            <wp:effectExtent l="0" t="0" r="19050" b="19050"/>
            <wp:wrapNone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3F06A6" w:rsidRDefault="003F06A6"/>
    <w:p w:rsidR="003F06A6" w:rsidRDefault="003F06A6"/>
    <w:p w:rsidR="003F06A6" w:rsidRDefault="003F06A6"/>
    <w:p w:rsidR="003F06A6" w:rsidRDefault="003F06A6"/>
    <w:p w:rsidR="003F06A6" w:rsidRDefault="003F06A6"/>
    <w:p w:rsidR="003F06A6" w:rsidRDefault="003F06A6"/>
    <w:p w:rsidR="003F06A6" w:rsidRDefault="003F06A6"/>
    <w:p w:rsidR="003F06A6" w:rsidRDefault="003F06A6"/>
    <w:p w:rsidR="00EB4BAD" w:rsidRDefault="006640C8">
      <w:r>
        <w:rPr>
          <w:noProof/>
        </w:rPr>
        <w:drawing>
          <wp:anchor distT="0" distB="0" distL="114300" distR="114300" simplePos="0" relativeHeight="251666432" behindDoc="0" locked="0" layoutInCell="1" allowOverlap="1" wp14:anchorId="7A4597DA" wp14:editId="5ADF7431">
            <wp:simplePos x="0" y="0"/>
            <wp:positionH relativeFrom="column">
              <wp:posOffset>-93478</wp:posOffset>
            </wp:positionH>
            <wp:positionV relativeFrom="paragraph">
              <wp:posOffset>657461</wp:posOffset>
            </wp:positionV>
            <wp:extent cx="5486400" cy="3200400"/>
            <wp:effectExtent l="0" t="0" r="19050" b="19050"/>
            <wp:wrapNone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3F06A6">
        <w:t xml:space="preserve">This pie chart shows that </w:t>
      </w:r>
      <w:r w:rsidR="005258B9">
        <w:t xml:space="preserve">59% of the money moving through Soda Co. was profit, while the other </w:t>
      </w:r>
      <w:r w:rsidR="004B1493">
        <w:t xml:space="preserve">41% was </w:t>
      </w:r>
      <w:r w:rsidR="00E51CB0">
        <w:t xml:space="preserve">business </w:t>
      </w:r>
      <w:r w:rsidR="00491233">
        <w:t>costs, meaning that Soda Co. had a 9% margin of profit.</w:t>
      </w:r>
    </w:p>
    <w:p w:rsidR="00A44090" w:rsidRDefault="00A44090"/>
    <w:p w:rsidR="00A44090" w:rsidRDefault="00A44090"/>
    <w:p w:rsidR="00A44090" w:rsidRDefault="00A44090"/>
    <w:p w:rsidR="00A44090" w:rsidRDefault="00A44090"/>
    <w:p w:rsidR="00A44090" w:rsidRDefault="00A44090"/>
    <w:p w:rsidR="00A44090" w:rsidRDefault="00A44090"/>
    <w:p w:rsidR="00A44090" w:rsidRDefault="00A44090"/>
    <w:p w:rsidR="00A44090" w:rsidRDefault="00A44090"/>
    <w:p w:rsidR="00A44090" w:rsidRDefault="00A44090"/>
    <w:p w:rsidR="00A44090" w:rsidRDefault="00A44090"/>
    <w:p w:rsidR="00A44090" w:rsidRDefault="00A44090"/>
    <w:p w:rsidR="00A44090" w:rsidRDefault="00A44090">
      <w:r>
        <w:t xml:space="preserve">This pie chart shows that </w:t>
      </w:r>
      <w:r w:rsidR="002861B7">
        <w:t xml:space="preserve">60% of the money moving through Pop Co. was profit, while the other 40% was business costs, meaning that Pop Co. had a 10% margin of profit. </w:t>
      </w:r>
      <w:r w:rsidR="00142E58">
        <w:t xml:space="preserve">Comparing Soda and Pop Co.’s pie charts, we see that the margins are about the same, with </w:t>
      </w:r>
      <w:r w:rsidR="00B0570A">
        <w:t>the</w:t>
      </w:r>
      <w:r w:rsidR="00701C04">
        <w:t xml:space="preserve"> biggest change in advertising. </w:t>
      </w:r>
    </w:p>
    <w:p w:rsidR="00162529" w:rsidRDefault="00162529"/>
    <w:p w:rsidR="00162529" w:rsidRDefault="00162529"/>
    <w:p w:rsidR="00162529" w:rsidRPr="001531D0" w:rsidRDefault="005E0B1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36F3F0" wp14:editId="2D39272A">
                <wp:simplePos x="0" y="0"/>
                <wp:positionH relativeFrom="column">
                  <wp:posOffset>-4770460</wp:posOffset>
                </wp:positionH>
                <wp:positionV relativeFrom="paragraph">
                  <wp:posOffset>3221665</wp:posOffset>
                </wp:positionV>
                <wp:extent cx="2434856" cy="2488019"/>
                <wp:effectExtent l="0" t="0" r="22860" b="266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856" cy="2488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B15" w:rsidRDefault="005E0B15">
                            <w:r>
                              <w:t xml:space="preserve">Looking at both </w:t>
                            </w:r>
                            <w:r w:rsidR="00C024C6">
                              <w:t>box and whisker plots, we see a tendency for the following:</w:t>
                            </w:r>
                          </w:p>
                          <w:p w:rsidR="00C024C6" w:rsidRDefault="00C024C6" w:rsidP="00C338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Shipping always being low</w:t>
                            </w:r>
                          </w:p>
                          <w:p w:rsidR="00C024C6" w:rsidRDefault="00C024C6" w:rsidP="00C338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Advertising being low</w:t>
                            </w:r>
                          </w:p>
                          <w:p w:rsidR="00C024C6" w:rsidRDefault="00C024C6" w:rsidP="00C338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Labor costs being high</w:t>
                            </w:r>
                          </w:p>
                          <w:p w:rsidR="00C024C6" w:rsidRDefault="005F775E" w:rsidP="00C338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Production costs being moderately </w:t>
                            </w:r>
                            <w:r w:rsidR="005A0C0A">
                              <w:t>sized.</w:t>
                            </w:r>
                          </w:p>
                          <w:p w:rsidR="005A0C0A" w:rsidRDefault="000820AA" w:rsidP="00C338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Sales </w:t>
                            </w:r>
                            <w:r w:rsidR="006E5F0C">
                              <w:t xml:space="preserve">being </w:t>
                            </w:r>
                            <w:r w:rsidR="00EE1E18">
                              <w:t xml:space="preserve">lager than </w:t>
                            </w:r>
                            <w:r w:rsidR="00F376B2">
                              <w:t xml:space="preserve">the amount of </w:t>
                            </w:r>
                            <w:r w:rsidR="003545F7">
                              <w:t>business costs.</w:t>
                            </w:r>
                          </w:p>
                          <w:p w:rsidR="00EF6022" w:rsidRDefault="00EF6022" w:rsidP="00C338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Something occurred during 2012 which led to higher sales for both companies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6F3F0" id="_x0000_s1028" type="#_x0000_t202" style="position:absolute;margin-left:-375.65pt;margin-top:253.65pt;width:191.7pt;height:19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">
                <v:textbox>
                  <w:txbxContent>
                    <w:p w:rsidR="005E0B15" w:rsidRDefault="005E0B15">
                      <w:r>
                        <w:t xml:space="preserve">Looking at both </w:t>
                      </w:r>
                      <w:r w:rsidR="00C024C6">
                        <w:t>box and whisker plots, we see a tendency for the following:</w:t>
                      </w:r>
                    </w:p>
                    <w:p w:rsidR="00C024C6" w:rsidRDefault="00C024C6" w:rsidP="00C338C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Shipping always being low</w:t>
                      </w:r>
                    </w:p>
                    <w:p w:rsidR="00C024C6" w:rsidRDefault="00C024C6" w:rsidP="00C338C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Advertising being low</w:t>
                      </w:r>
                    </w:p>
                    <w:p w:rsidR="00C024C6" w:rsidRDefault="00C024C6" w:rsidP="00C338C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Labor costs being high</w:t>
                      </w:r>
                    </w:p>
                    <w:p w:rsidR="00C024C6" w:rsidRDefault="005F775E" w:rsidP="00C338C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Production costs being moderately </w:t>
                      </w:r>
                      <w:r w:rsidR="005A0C0A">
                        <w:t>sized.</w:t>
                      </w:r>
                    </w:p>
                    <w:p w:rsidR="005A0C0A" w:rsidRDefault="000820AA" w:rsidP="00C338C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Sales </w:t>
                      </w:r>
                      <w:r w:rsidR="006E5F0C">
                        <w:t xml:space="preserve">being </w:t>
                      </w:r>
                      <w:r w:rsidR="00EE1E18">
                        <w:t xml:space="preserve">lager than </w:t>
                      </w:r>
                      <w:r w:rsidR="00F376B2">
                        <w:t xml:space="preserve">the amount of </w:t>
                      </w:r>
                      <w:r w:rsidR="003545F7">
                        <w:t>business costs.</w:t>
                      </w:r>
                    </w:p>
                    <w:p w:rsidR="00EF6022" w:rsidRDefault="00EF6022" w:rsidP="00C338C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Something occurred during 2012 which led to higher sales for both companies</w:t>
                      </w:r>
                    </w:p>
                  </w:txbxContent>
                </v:textbox>
              </v:shape>
            </w:pict>
          </mc:Fallback>
        </mc:AlternateContent>
      </w:r>
      <w:r w:rsidR="000457A0">
        <w:rPr>
          <w:noProof/>
        </w:rPr>
        <w:drawing>
          <wp:anchor distT="0" distB="0" distL="114300" distR="114300" simplePos="0" relativeHeight="251673600" behindDoc="0" locked="0" layoutInCell="1" allowOverlap="1" wp14:anchorId="7FD9D533" wp14:editId="62D4FEAF">
            <wp:simplePos x="0" y="0"/>
            <wp:positionH relativeFrom="column">
              <wp:posOffset>1700530</wp:posOffset>
            </wp:positionH>
            <wp:positionV relativeFrom="paragraph">
              <wp:posOffset>3114675</wp:posOffset>
            </wp:positionV>
            <wp:extent cx="4613910" cy="3423285"/>
            <wp:effectExtent l="0" t="0" r="15240" b="24765"/>
            <wp:wrapTight wrapText="bothSides">
              <wp:wrapPolygon edited="0">
                <wp:start x="0" y="0"/>
                <wp:lineTo x="0" y="21636"/>
                <wp:lineTo x="21582" y="21636"/>
                <wp:lineTo x="21582" y="0"/>
                <wp:lineTo x="0" y="0"/>
              </wp:wrapPolygon>
            </wp:wrapTight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7A0">
        <w:rPr>
          <w:noProof/>
        </w:rPr>
        <w:drawing>
          <wp:anchor distT="0" distB="0" distL="114300" distR="114300" simplePos="0" relativeHeight="251671552" behindDoc="0" locked="0" layoutInCell="1" allowOverlap="1" wp14:anchorId="1709C76B" wp14:editId="6D340612">
            <wp:simplePos x="0" y="0"/>
            <wp:positionH relativeFrom="column">
              <wp:posOffset>-670560</wp:posOffset>
            </wp:positionH>
            <wp:positionV relativeFrom="paragraph">
              <wp:posOffset>-382905</wp:posOffset>
            </wp:positionV>
            <wp:extent cx="4476115" cy="3253105"/>
            <wp:effectExtent l="0" t="0" r="19685" b="23495"/>
            <wp:wrapTight wrapText="bothSides">
              <wp:wrapPolygon edited="0">
                <wp:start x="0" y="0"/>
                <wp:lineTo x="0" y="21630"/>
                <wp:lineTo x="21603" y="21630"/>
                <wp:lineTo x="21603" y="0"/>
                <wp:lineTo x="0" y="0"/>
              </wp:wrapPolygon>
            </wp:wrapTight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62529" w:rsidRPr="00153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48C" w:rsidRDefault="0031048C" w:rsidP="001531D0">
      <w:pPr>
        <w:spacing w:after="0" w:line="240" w:lineRule="auto"/>
      </w:pPr>
      <w:r>
        <w:separator/>
      </w:r>
    </w:p>
  </w:endnote>
  <w:endnote w:type="continuationSeparator" w:id="0">
    <w:p w:rsidR="0031048C" w:rsidRDefault="0031048C" w:rsidP="0015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48C" w:rsidRDefault="0031048C" w:rsidP="001531D0">
      <w:pPr>
        <w:spacing w:after="0" w:line="240" w:lineRule="auto"/>
      </w:pPr>
      <w:r>
        <w:separator/>
      </w:r>
    </w:p>
  </w:footnote>
  <w:footnote w:type="continuationSeparator" w:id="0">
    <w:p w:rsidR="0031048C" w:rsidRDefault="0031048C" w:rsidP="0015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033BE"/>
    <w:multiLevelType w:val="hybridMultilevel"/>
    <w:tmpl w:val="80F00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69"/>
    <w:rsid w:val="000074BE"/>
    <w:rsid w:val="00010CB0"/>
    <w:rsid w:val="000457A0"/>
    <w:rsid w:val="00077667"/>
    <w:rsid w:val="000820AA"/>
    <w:rsid w:val="000B7DC9"/>
    <w:rsid w:val="000C09C5"/>
    <w:rsid w:val="000D14F1"/>
    <w:rsid w:val="000E4C18"/>
    <w:rsid w:val="000F2DFD"/>
    <w:rsid w:val="000F5A52"/>
    <w:rsid w:val="00102533"/>
    <w:rsid w:val="001154BD"/>
    <w:rsid w:val="00130858"/>
    <w:rsid w:val="00142E58"/>
    <w:rsid w:val="001531D0"/>
    <w:rsid w:val="0015323B"/>
    <w:rsid w:val="00156822"/>
    <w:rsid w:val="00162529"/>
    <w:rsid w:val="001B1D66"/>
    <w:rsid w:val="001E1079"/>
    <w:rsid w:val="00212153"/>
    <w:rsid w:val="002250AB"/>
    <w:rsid w:val="00260069"/>
    <w:rsid w:val="002861B7"/>
    <w:rsid w:val="002A34B7"/>
    <w:rsid w:val="002B1ED2"/>
    <w:rsid w:val="002C3CDB"/>
    <w:rsid w:val="002F260A"/>
    <w:rsid w:val="0031048C"/>
    <w:rsid w:val="00311C3D"/>
    <w:rsid w:val="00321CC7"/>
    <w:rsid w:val="00341228"/>
    <w:rsid w:val="003545F7"/>
    <w:rsid w:val="00390B74"/>
    <w:rsid w:val="00395EFF"/>
    <w:rsid w:val="003960ED"/>
    <w:rsid w:val="003B35C9"/>
    <w:rsid w:val="003B56C5"/>
    <w:rsid w:val="003C13C1"/>
    <w:rsid w:val="003F06A6"/>
    <w:rsid w:val="003F16CB"/>
    <w:rsid w:val="00434332"/>
    <w:rsid w:val="004345B2"/>
    <w:rsid w:val="00437E89"/>
    <w:rsid w:val="004465E6"/>
    <w:rsid w:val="00491233"/>
    <w:rsid w:val="00494775"/>
    <w:rsid w:val="004B1493"/>
    <w:rsid w:val="004F5845"/>
    <w:rsid w:val="005258B9"/>
    <w:rsid w:val="00542961"/>
    <w:rsid w:val="00547358"/>
    <w:rsid w:val="00557210"/>
    <w:rsid w:val="00565D43"/>
    <w:rsid w:val="005816AE"/>
    <w:rsid w:val="00594F44"/>
    <w:rsid w:val="005A0383"/>
    <w:rsid w:val="005A0C0A"/>
    <w:rsid w:val="005A36D5"/>
    <w:rsid w:val="005C79D2"/>
    <w:rsid w:val="005E0B15"/>
    <w:rsid w:val="005F775E"/>
    <w:rsid w:val="006030AE"/>
    <w:rsid w:val="00647466"/>
    <w:rsid w:val="006640C8"/>
    <w:rsid w:val="006C60A8"/>
    <w:rsid w:val="006D10C1"/>
    <w:rsid w:val="006D76EB"/>
    <w:rsid w:val="006E5F0C"/>
    <w:rsid w:val="00701C04"/>
    <w:rsid w:val="00745835"/>
    <w:rsid w:val="007642F1"/>
    <w:rsid w:val="00773035"/>
    <w:rsid w:val="007B7A02"/>
    <w:rsid w:val="007C6DF5"/>
    <w:rsid w:val="007D0423"/>
    <w:rsid w:val="00800DDF"/>
    <w:rsid w:val="00814FB4"/>
    <w:rsid w:val="00875209"/>
    <w:rsid w:val="008A6A1D"/>
    <w:rsid w:val="008C390E"/>
    <w:rsid w:val="008E33F8"/>
    <w:rsid w:val="008F068B"/>
    <w:rsid w:val="0092037B"/>
    <w:rsid w:val="00927FA3"/>
    <w:rsid w:val="00936137"/>
    <w:rsid w:val="009615BD"/>
    <w:rsid w:val="00965FA3"/>
    <w:rsid w:val="00976173"/>
    <w:rsid w:val="00986A1B"/>
    <w:rsid w:val="009A2FBF"/>
    <w:rsid w:val="009D45A5"/>
    <w:rsid w:val="009F16EF"/>
    <w:rsid w:val="00A013B5"/>
    <w:rsid w:val="00A44090"/>
    <w:rsid w:val="00A6100B"/>
    <w:rsid w:val="00A718FD"/>
    <w:rsid w:val="00B0570A"/>
    <w:rsid w:val="00B242C9"/>
    <w:rsid w:val="00B30EDA"/>
    <w:rsid w:val="00B375E7"/>
    <w:rsid w:val="00B46605"/>
    <w:rsid w:val="00B50DF0"/>
    <w:rsid w:val="00B677AD"/>
    <w:rsid w:val="00B70B25"/>
    <w:rsid w:val="00B96BA2"/>
    <w:rsid w:val="00BA070C"/>
    <w:rsid w:val="00BA2533"/>
    <w:rsid w:val="00BB0479"/>
    <w:rsid w:val="00BB3D79"/>
    <w:rsid w:val="00BC1B22"/>
    <w:rsid w:val="00BD43E7"/>
    <w:rsid w:val="00BF4538"/>
    <w:rsid w:val="00C024C6"/>
    <w:rsid w:val="00C070B0"/>
    <w:rsid w:val="00C07C82"/>
    <w:rsid w:val="00C338CD"/>
    <w:rsid w:val="00C44A70"/>
    <w:rsid w:val="00C47A5C"/>
    <w:rsid w:val="00C63CAC"/>
    <w:rsid w:val="00C65AFA"/>
    <w:rsid w:val="00C65BCD"/>
    <w:rsid w:val="00C72D33"/>
    <w:rsid w:val="00C913DA"/>
    <w:rsid w:val="00CA3853"/>
    <w:rsid w:val="00CA3F53"/>
    <w:rsid w:val="00CB4573"/>
    <w:rsid w:val="00CF05EA"/>
    <w:rsid w:val="00D26761"/>
    <w:rsid w:val="00D9085C"/>
    <w:rsid w:val="00D91518"/>
    <w:rsid w:val="00DB7932"/>
    <w:rsid w:val="00DD764A"/>
    <w:rsid w:val="00DE074F"/>
    <w:rsid w:val="00E01FC9"/>
    <w:rsid w:val="00E30961"/>
    <w:rsid w:val="00E3179D"/>
    <w:rsid w:val="00E3366E"/>
    <w:rsid w:val="00E37D52"/>
    <w:rsid w:val="00E51CB0"/>
    <w:rsid w:val="00E60A84"/>
    <w:rsid w:val="00E62E9A"/>
    <w:rsid w:val="00E65FA1"/>
    <w:rsid w:val="00EB4BAD"/>
    <w:rsid w:val="00ED5D24"/>
    <w:rsid w:val="00EE1E18"/>
    <w:rsid w:val="00EF6022"/>
    <w:rsid w:val="00F234A5"/>
    <w:rsid w:val="00F30AE7"/>
    <w:rsid w:val="00F314D4"/>
    <w:rsid w:val="00F376B2"/>
    <w:rsid w:val="00F9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75AE"/>
  <w15:docId w15:val="{655006DB-14D7-4665-B64E-394D3549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1D0"/>
  </w:style>
  <w:style w:type="paragraph" w:styleId="Footer">
    <w:name w:val="footer"/>
    <w:basedOn w:val="Normal"/>
    <w:link w:val="FooterChar"/>
    <w:uiPriority w:val="99"/>
    <w:unhideWhenUsed/>
    <w:rsid w:val="00153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1D0"/>
  </w:style>
  <w:style w:type="paragraph" w:styleId="BalloonText">
    <w:name w:val="Balloon Text"/>
    <w:basedOn w:val="Normal"/>
    <w:link w:val="BalloonTextChar"/>
    <w:uiPriority w:val="99"/>
    <w:semiHidden/>
    <w:unhideWhenUsed/>
    <w:rsid w:val="0039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B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3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Soda Co. Profit over 5 years</a:t>
            </a:r>
          </a:p>
        </c:rich>
      </c:tx>
      <c:layout>
        <c:manualLayout>
          <c:xMode val="edge"/>
          <c:yMode val="edge"/>
          <c:x val="0.22528199359695425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242107757363663"/>
          <c:y val="0.16697444069491313"/>
          <c:w val="0.79539807524059492"/>
          <c:h val="0.7336142357205349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Profit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15045865420668569"/>
                  <c:y val="-0.13158669914462132"/>
                </c:manualLayout>
              </c:layout>
              <c:numFmt formatCode="General" sourceLinked="0"/>
            </c:trendlineLbl>
          </c:trendline>
          <c:xVal>
            <c:numRef>
              <c:f>Sheet1!$A$2:$A$6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2014</c:v>
                </c:pt>
                <c:pt idx="2">
                  <c:v>2013</c:v>
                </c:pt>
                <c:pt idx="3">
                  <c:v>2012</c:v>
                </c:pt>
                <c:pt idx="4">
                  <c:v>2011</c:v>
                </c:pt>
              </c:numCache>
            </c:numRef>
          </c:xVal>
          <c:yVal>
            <c:numRef>
              <c:f>Sheet1!$B$2:$B$6</c:f>
              <c:numCache>
                <c:formatCode>_(* #,##0_);_(* \(#,##0\);_(* "-"??_);_(@_)</c:formatCode>
                <c:ptCount val="5"/>
                <c:pt idx="0">
                  <c:v>18915000</c:v>
                </c:pt>
                <c:pt idx="1">
                  <c:v>20004000</c:v>
                </c:pt>
                <c:pt idx="2">
                  <c:v>19926000</c:v>
                </c:pt>
                <c:pt idx="3">
                  <c:v>19647000</c:v>
                </c:pt>
                <c:pt idx="4">
                  <c:v>19950000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863-4F6D-8A04-7036249C6F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9752704"/>
        <c:axId val="256638976"/>
      </c:scatterChart>
      <c:valAx>
        <c:axId val="239752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6638976"/>
        <c:crosses val="autoZero"/>
        <c:crossBetween val="midCat"/>
      </c:valAx>
      <c:valAx>
        <c:axId val="256638976"/>
        <c:scaling>
          <c:orientation val="minMax"/>
        </c:scaling>
        <c:delete val="0"/>
        <c:axPos val="l"/>
        <c:majorGridlines/>
        <c:numFmt formatCode="_(* #,##0_);_(* \(#,##0\);_(* &quot;-&quot;??_);_(@_)" sourceLinked="1"/>
        <c:majorTickMark val="out"/>
        <c:minorTickMark val="none"/>
        <c:tickLblPos val="nextTo"/>
        <c:crossAx val="23975270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4550650399469298"/>
          <c:y val="3.1420532865046591E-4"/>
          <c:w val="0.25185451818522686"/>
          <c:h val="0.17345720274174362"/>
        </c:manualLayout>
      </c:layout>
      <c:overlay val="0"/>
      <c:spPr>
        <a:solidFill>
          <a:schemeClr val="bg1">
            <a:alpha val="0"/>
          </a:schemeClr>
        </a:solidFill>
      </c:sp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Pop Co. Profit over 5 years</a:t>
            </a:r>
          </a:p>
        </c:rich>
      </c:tx>
      <c:layout>
        <c:manualLayout>
          <c:xMode val="edge"/>
          <c:yMode val="edge"/>
          <c:x val="0.21727460990453115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242107757363663"/>
          <c:y val="0.16697444069491313"/>
          <c:w val="0.79539807524059492"/>
          <c:h val="0.7336142357205349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Profit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11236341611144761"/>
                  <c:y val="-0.30832417530542494"/>
                </c:manualLayout>
              </c:layout>
              <c:numFmt formatCode="General" sourceLinked="0"/>
            </c:trendlineLbl>
          </c:trendline>
          <c:xVal>
            <c:numRef>
              <c:f>Sheet1!$A$2:$A$6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2014</c:v>
                </c:pt>
                <c:pt idx="2">
                  <c:v>2013</c:v>
                </c:pt>
                <c:pt idx="3">
                  <c:v>2012</c:v>
                </c:pt>
                <c:pt idx="4">
                  <c:v>2011</c:v>
                </c:pt>
              </c:numCache>
            </c:numRef>
          </c:xVal>
          <c:yVal>
            <c:numRef>
              <c:f>Sheet1!$B$2:$B$6</c:f>
              <c:numCache>
                <c:formatCode>_(* #,##0_);_(* \(#,##0\);_(* "-"??_);_(@_)</c:formatCode>
                <c:ptCount val="5"/>
                <c:pt idx="0">
                  <c:v>14841000</c:v>
                </c:pt>
                <c:pt idx="1">
                  <c:v>15616200</c:v>
                </c:pt>
                <c:pt idx="2">
                  <c:v>15878000</c:v>
                </c:pt>
                <c:pt idx="3">
                  <c:v>16343800</c:v>
                </c:pt>
                <c:pt idx="4">
                  <c:v>15901800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549-4DED-9353-13DB55EEC9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5230976"/>
        <c:axId val="265240960"/>
      </c:scatterChart>
      <c:valAx>
        <c:axId val="265230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5240960"/>
        <c:crosses val="autoZero"/>
        <c:crossBetween val="midCat"/>
      </c:valAx>
      <c:valAx>
        <c:axId val="265240960"/>
        <c:scaling>
          <c:orientation val="minMax"/>
        </c:scaling>
        <c:delete val="0"/>
        <c:axPos val="l"/>
        <c:majorGridlines/>
        <c:numFmt formatCode="_(* #,##0_);_(* \(#,##0\);_(* &quot;-&quot;??_);_(@_)" sourceLinked="1"/>
        <c:majorTickMark val="out"/>
        <c:minorTickMark val="none"/>
        <c:tickLblPos val="nextTo"/>
        <c:crossAx val="265230976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1913282898461217"/>
          <c:y val="5.1105476222251906E-3"/>
          <c:w val="0.25185451818522686"/>
          <c:h val="0.17345720274174362"/>
        </c:manualLayout>
      </c:layout>
      <c:overlay val="0"/>
      <c:spPr>
        <a:solidFill>
          <a:schemeClr val="bg1">
            <a:alpha val="0"/>
          </a:schemeClr>
        </a:solidFill>
      </c:sp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700"/>
              <a:t>Soda Co. Money Distribution from 2011 to 2015</a:t>
            </a:r>
          </a:p>
        </c:rich>
      </c:tx>
      <c:overlay val="0"/>
    </c:title>
    <c:autoTitleDeleted val="0"/>
    <c:plotArea>
      <c:layout/>
      <c:pieChart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Soda Co. Money Distribution from 2010 to 2015</c:v>
                </c:pt>
              </c:strCache>
            </c:strRef>
          </c:tx>
          <c:dPt>
            <c:idx val="0"/>
            <c:bubble3D val="0"/>
            <c:spPr>
              <a:solidFill>
                <a:srgbClr val="B5CEED"/>
              </a:solidFill>
            </c:spPr>
            <c:extLst>
              <c:ext xmlns:c16="http://schemas.microsoft.com/office/drawing/2014/chart" uri="{C3380CC4-5D6E-409C-BE32-E72D297353CC}">
                <c16:uniqueId val="{00000001-1126-4C6A-B2AE-89E9B0447E7F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1126-4C6A-B2AE-89E9B0447E7F}"/>
              </c:ext>
            </c:extLst>
          </c:dPt>
          <c:dPt>
            <c:idx val="2"/>
            <c:bubble3D val="0"/>
            <c:spPr>
              <a:solidFill>
                <a:srgbClr val="D7E5F5"/>
              </a:solidFill>
            </c:spPr>
            <c:extLst>
              <c:ext xmlns:c16="http://schemas.microsoft.com/office/drawing/2014/chart" uri="{C3380CC4-5D6E-409C-BE32-E72D297353CC}">
                <c16:uniqueId val="{00000005-1126-4C6A-B2AE-89E9B0447E7F}"/>
              </c:ext>
            </c:extLst>
          </c:dPt>
          <c:dPt>
            <c:idx val="3"/>
            <c:bubble3D val="0"/>
            <c:spPr>
              <a:solidFill>
                <a:srgbClr val="7DA9DF"/>
              </a:solidFill>
            </c:spPr>
            <c:extLst>
              <c:ext xmlns:c16="http://schemas.microsoft.com/office/drawing/2014/chart" uri="{C3380CC4-5D6E-409C-BE32-E72D297353CC}">
                <c16:uniqueId val="{00000007-1126-4C6A-B2AE-89E9B0447E7F}"/>
              </c:ext>
            </c:extLst>
          </c:dPt>
          <c:dPt>
            <c:idx val="4"/>
            <c:bubble3D val="0"/>
            <c:spPr>
              <a:solidFill>
                <a:schemeClr val="tx2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1126-4C6A-B2AE-89E9B0447E7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Advertising</c:v>
                </c:pt>
                <c:pt idx="1">
                  <c:v>Labor Cost</c:v>
                </c:pt>
                <c:pt idx="2">
                  <c:v>Shipping</c:v>
                </c:pt>
                <c:pt idx="3">
                  <c:v>Production</c:v>
                </c:pt>
                <c:pt idx="4">
                  <c:v>Sales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26251200</c:v>
                </c:pt>
                <c:pt idx="1">
                  <c:v>131256000</c:v>
                </c:pt>
                <c:pt idx="2">
                  <c:v>19688400</c:v>
                </c:pt>
                <c:pt idx="3">
                  <c:v>52502400</c:v>
                </c:pt>
                <c:pt idx="4">
                  <c:v>328140000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126-4C6A-B2AE-89E9B0447E7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Pop Co. Money Distribution from 2011 to 2015</a:t>
            </a:r>
          </a:p>
        </c:rich>
      </c:tx>
      <c:overlay val="0"/>
    </c:title>
    <c:autoTitleDeleted val="0"/>
    <c:plotArea>
      <c:layout/>
      <c:pieChart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Soda Co. Money Distribution from 2010 to 2015</c:v>
                </c:pt>
              </c:strCache>
            </c:strRef>
          </c:tx>
          <c:dPt>
            <c:idx val="0"/>
            <c:bubble3D val="0"/>
            <c:spPr>
              <a:solidFill>
                <a:srgbClr val="D7E5F5"/>
              </a:solidFill>
            </c:spPr>
            <c:extLst>
              <c:ext xmlns:c16="http://schemas.microsoft.com/office/drawing/2014/chart" uri="{C3380CC4-5D6E-409C-BE32-E72D297353CC}">
                <c16:uniqueId val="{00000001-0CDF-484A-B5C6-B15C1D3E8ED9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0CDF-484A-B5C6-B15C1D3E8ED9}"/>
              </c:ext>
            </c:extLst>
          </c:dPt>
          <c:dPt>
            <c:idx val="2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0CDF-484A-B5C6-B15C1D3E8ED9}"/>
              </c:ext>
            </c:extLst>
          </c:dPt>
          <c:dPt>
            <c:idx val="3"/>
            <c:bubble3D val="0"/>
            <c:spPr>
              <a:solidFill>
                <a:srgbClr val="7DA9DF"/>
              </a:solidFill>
            </c:spPr>
            <c:extLst>
              <c:ext xmlns:c16="http://schemas.microsoft.com/office/drawing/2014/chart" uri="{C3380CC4-5D6E-409C-BE32-E72D297353CC}">
                <c16:uniqueId val="{00000007-0CDF-484A-B5C6-B15C1D3E8ED9}"/>
              </c:ext>
            </c:extLst>
          </c:dPt>
          <c:dPt>
            <c:idx val="4"/>
            <c:bubble3D val="0"/>
            <c:spPr>
              <a:solidFill>
                <a:schemeClr val="tx2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0CDF-484A-B5C6-B15C1D3E8ED9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Advertising</c:v>
                </c:pt>
                <c:pt idx="1">
                  <c:v>Labor Cost</c:v>
                </c:pt>
                <c:pt idx="2">
                  <c:v>Shipping</c:v>
                </c:pt>
                <c:pt idx="3">
                  <c:v>Production</c:v>
                </c:pt>
                <c:pt idx="4">
                  <c:v>Sales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6933600</c:v>
                </c:pt>
                <c:pt idx="1">
                  <c:v>104004000</c:v>
                </c:pt>
                <c:pt idx="2">
                  <c:v>9244800</c:v>
                </c:pt>
                <c:pt idx="3">
                  <c:v>32356800</c:v>
                </c:pt>
                <c:pt idx="4">
                  <c:v>231120000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CDF-484A-B5C6-B15C1D3E8ED9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Pop Co. Money Distribution from 2011 to</a:t>
            </a:r>
            <a:r>
              <a:rPr lang="en-US" baseline="0"/>
              <a:t> 2015</a:t>
            </a:r>
          </a:p>
        </c:rich>
      </c:tx>
      <c:overlay val="0"/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Sheet1!$A$1</c:f>
              <c:strCache>
                <c:ptCount val="1"/>
                <c:pt idx="0">
                  <c:v> 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46-4B26-83E3-01C31ED184CC}"/>
            </c:ext>
          </c:extLst>
        </c:ser>
        <c:ser>
          <c:idx val="1"/>
          <c:order val="1"/>
          <c:tx>
            <c:strRef>
              <c:f>Sheet1!$B$1</c:f>
              <c:strCache>
                <c:ptCount val="1"/>
                <c:pt idx="0">
                  <c:v>Advertising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Sheet1!$B$2:$B$6</c:f>
              <c:numCache>
                <c:formatCode>#,##0</c:formatCode>
                <c:ptCount val="5"/>
                <c:pt idx="0">
                  <c:v>5044000</c:v>
                </c:pt>
                <c:pt idx="1">
                  <c:v>5334400</c:v>
                </c:pt>
                <c:pt idx="2">
                  <c:v>5313600</c:v>
                </c:pt>
                <c:pt idx="3">
                  <c:v>5239200</c:v>
                </c:pt>
                <c:pt idx="4">
                  <c:v>5320000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46-4B26-83E3-01C31ED184CC}"/>
            </c:ext>
          </c:extLst>
        </c:ser>
        <c:ser>
          <c:idx val="2"/>
          <c:order val="2"/>
          <c:tx>
            <c:strRef>
              <c:f>Sheet1!$C$1</c:f>
              <c:strCache>
                <c:ptCount val="1"/>
                <c:pt idx="0">
                  <c:v>Labor Costs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Sheet1!$C$2:$C$6</c:f>
              <c:numCache>
                <c:formatCode>#,##0</c:formatCode>
                <c:ptCount val="5"/>
                <c:pt idx="0">
                  <c:v>25220000</c:v>
                </c:pt>
                <c:pt idx="1">
                  <c:v>2667200</c:v>
                </c:pt>
                <c:pt idx="2">
                  <c:v>26568000</c:v>
                </c:pt>
                <c:pt idx="3">
                  <c:v>26196000</c:v>
                </c:pt>
                <c:pt idx="4">
                  <c:v>26600000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46-4B26-83E3-01C31ED184CC}"/>
            </c:ext>
          </c:extLst>
        </c:ser>
        <c:ser>
          <c:idx val="3"/>
          <c:order val="3"/>
          <c:tx>
            <c:strRef>
              <c:f>Sheet1!$D$1</c:f>
              <c:strCache>
                <c:ptCount val="1"/>
                <c:pt idx="0">
                  <c:v>Shipping Costs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Sheet1!$D$2:$D$6</c:f>
              <c:numCache>
                <c:formatCode>#,##0</c:formatCode>
                <c:ptCount val="5"/>
                <c:pt idx="0">
                  <c:v>3783000</c:v>
                </c:pt>
                <c:pt idx="1">
                  <c:v>4000800</c:v>
                </c:pt>
                <c:pt idx="2">
                  <c:v>3985200</c:v>
                </c:pt>
                <c:pt idx="3">
                  <c:v>3929400</c:v>
                </c:pt>
                <c:pt idx="4">
                  <c:v>3990000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446-4B26-83E3-01C31ED184CC}"/>
            </c:ext>
          </c:extLst>
        </c:ser>
        <c:ser>
          <c:idx val="4"/>
          <c:order val="4"/>
          <c:tx>
            <c:strRef>
              <c:f>Sheet1!$E$1</c:f>
              <c:strCache>
                <c:ptCount val="1"/>
                <c:pt idx="0">
                  <c:v>Production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Sheet1!$E$2:$E$6</c:f>
              <c:numCache>
                <c:formatCode>#,##0</c:formatCode>
                <c:ptCount val="5"/>
                <c:pt idx="0">
                  <c:v>10088000</c:v>
                </c:pt>
                <c:pt idx="1">
                  <c:v>10668800</c:v>
                </c:pt>
                <c:pt idx="2" formatCode="General">
                  <c:v>10627200</c:v>
                </c:pt>
                <c:pt idx="3" formatCode="General">
                  <c:v>10478400</c:v>
                </c:pt>
                <c:pt idx="4" formatCode="General">
                  <c:v>10640000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446-4B26-83E3-01C31ED184CC}"/>
            </c:ext>
          </c:extLst>
        </c:ser>
        <c:ser>
          <c:idx val="5"/>
          <c:order val="5"/>
          <c:tx>
            <c:strRef>
              <c:f>Sheet1!$F$1</c:f>
              <c:strCache>
                <c:ptCount val="1"/>
                <c:pt idx="0">
                  <c:v>Sales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Sheet1!$F$2:$F$6</c:f>
              <c:numCache>
                <c:formatCode>#,##0</c:formatCode>
                <c:ptCount val="5"/>
                <c:pt idx="0">
                  <c:v>63050000</c:v>
                </c:pt>
                <c:pt idx="1">
                  <c:v>66680000</c:v>
                </c:pt>
                <c:pt idx="2">
                  <c:v>66420000</c:v>
                </c:pt>
                <c:pt idx="3">
                  <c:v>65490000</c:v>
                </c:pt>
                <c:pt idx="4">
                  <c:v>66500000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446-4B26-83E3-01C31ED184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19530880"/>
        <c:axId val="319532416"/>
      </c:barChart>
      <c:catAx>
        <c:axId val="319530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9532416"/>
        <c:crosses val="autoZero"/>
        <c:auto val="1"/>
        <c:lblAlgn val="ctr"/>
        <c:lblOffset val="100"/>
        <c:noMultiLvlLbl val="0"/>
      </c:catAx>
      <c:valAx>
        <c:axId val="3195324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9530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Soda Co. Money Distribution from 2011 to</a:t>
            </a:r>
            <a:r>
              <a:rPr lang="en-US" baseline="0"/>
              <a:t> 2015</a:t>
            </a:r>
          </a:p>
        </c:rich>
      </c:tx>
      <c:overlay val="0"/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Sheet1!$A$1</c:f>
              <c:strCache>
                <c:ptCount val="1"/>
                <c:pt idx="0">
                  <c:v> 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CB-4250-AB37-4A15A6DF5E9C}"/>
            </c:ext>
          </c:extLst>
        </c:ser>
        <c:ser>
          <c:idx val="1"/>
          <c:order val="1"/>
          <c:tx>
            <c:strRef>
              <c:f>Sheet1!$B$1</c:f>
              <c:strCache>
                <c:ptCount val="1"/>
                <c:pt idx="0">
                  <c:v>Advertising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Sheet1!$B$2:$B$6</c:f>
              <c:numCache>
                <c:formatCode>#,##0</c:formatCode>
                <c:ptCount val="5"/>
                <c:pt idx="0">
                  <c:v>5044000</c:v>
                </c:pt>
                <c:pt idx="1">
                  <c:v>5334400</c:v>
                </c:pt>
                <c:pt idx="2">
                  <c:v>5313600</c:v>
                </c:pt>
                <c:pt idx="3">
                  <c:v>5239200</c:v>
                </c:pt>
                <c:pt idx="4">
                  <c:v>5320000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CB-4250-AB37-4A15A6DF5E9C}"/>
            </c:ext>
          </c:extLst>
        </c:ser>
        <c:ser>
          <c:idx val="2"/>
          <c:order val="2"/>
          <c:tx>
            <c:strRef>
              <c:f>Sheet1!$C$1</c:f>
              <c:strCache>
                <c:ptCount val="1"/>
                <c:pt idx="0">
                  <c:v>Labor Costs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Sheet1!$C$2:$C$6</c:f>
              <c:numCache>
                <c:formatCode>#,##0</c:formatCode>
                <c:ptCount val="5"/>
                <c:pt idx="0">
                  <c:v>25220000</c:v>
                </c:pt>
                <c:pt idx="1">
                  <c:v>2667200</c:v>
                </c:pt>
                <c:pt idx="2">
                  <c:v>26568000</c:v>
                </c:pt>
                <c:pt idx="3">
                  <c:v>26196000</c:v>
                </c:pt>
                <c:pt idx="4">
                  <c:v>26600000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CB-4250-AB37-4A15A6DF5E9C}"/>
            </c:ext>
          </c:extLst>
        </c:ser>
        <c:ser>
          <c:idx val="3"/>
          <c:order val="3"/>
          <c:tx>
            <c:strRef>
              <c:f>Sheet1!$D$1</c:f>
              <c:strCache>
                <c:ptCount val="1"/>
                <c:pt idx="0">
                  <c:v>Shipping Costs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Sheet1!$D$2:$D$6</c:f>
              <c:numCache>
                <c:formatCode>#,##0</c:formatCode>
                <c:ptCount val="5"/>
                <c:pt idx="0">
                  <c:v>3783000</c:v>
                </c:pt>
                <c:pt idx="1">
                  <c:v>4000800</c:v>
                </c:pt>
                <c:pt idx="2">
                  <c:v>3985200</c:v>
                </c:pt>
                <c:pt idx="3">
                  <c:v>3929400</c:v>
                </c:pt>
                <c:pt idx="4">
                  <c:v>3990000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ACB-4250-AB37-4A15A6DF5E9C}"/>
            </c:ext>
          </c:extLst>
        </c:ser>
        <c:ser>
          <c:idx val="4"/>
          <c:order val="4"/>
          <c:tx>
            <c:strRef>
              <c:f>Sheet1!$E$1</c:f>
              <c:strCache>
                <c:ptCount val="1"/>
                <c:pt idx="0">
                  <c:v>Production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Sheet1!$E$2:$E$6</c:f>
              <c:numCache>
                <c:formatCode>#,##0</c:formatCode>
                <c:ptCount val="5"/>
                <c:pt idx="0">
                  <c:v>10088000</c:v>
                </c:pt>
                <c:pt idx="1">
                  <c:v>10668800</c:v>
                </c:pt>
                <c:pt idx="2" formatCode="General">
                  <c:v>10627200</c:v>
                </c:pt>
                <c:pt idx="3" formatCode="General">
                  <c:v>10478400</c:v>
                </c:pt>
                <c:pt idx="4" formatCode="General">
                  <c:v>10640000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ACB-4250-AB37-4A15A6DF5E9C}"/>
            </c:ext>
          </c:extLst>
        </c:ser>
        <c:ser>
          <c:idx val="5"/>
          <c:order val="5"/>
          <c:tx>
            <c:strRef>
              <c:f>Sheet1!$F$1</c:f>
              <c:strCache>
                <c:ptCount val="1"/>
                <c:pt idx="0">
                  <c:v>Sales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Sheet1!$F$2:$F$6</c:f>
              <c:numCache>
                <c:formatCode>#,##0</c:formatCode>
                <c:ptCount val="5"/>
                <c:pt idx="0">
                  <c:v>63050000</c:v>
                </c:pt>
                <c:pt idx="1">
                  <c:v>66680000</c:v>
                </c:pt>
                <c:pt idx="2">
                  <c:v>66420000</c:v>
                </c:pt>
                <c:pt idx="3">
                  <c:v>65490000</c:v>
                </c:pt>
                <c:pt idx="4">
                  <c:v>66500000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ACB-4250-AB37-4A15A6DF5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22125184"/>
        <c:axId val="322167936"/>
      </c:barChart>
      <c:catAx>
        <c:axId val="322125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2167936"/>
        <c:crosses val="autoZero"/>
        <c:auto val="1"/>
        <c:lblAlgn val="ctr"/>
        <c:lblOffset val="100"/>
        <c:noMultiLvlLbl val="0"/>
      </c:catAx>
      <c:valAx>
        <c:axId val="3221679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2125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0.05495</cdr:x>
      <cdr:y>0.04317</cdr:y>
    </cdr:from>
    <cdr:to>
      <cdr:x>0.28352</cdr:x>
      <cdr:y>0.1259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38125" y="114300"/>
          <a:ext cx="99060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B092533-DA40-44C2-B249-AE376F63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</dc:creator>
  <cp:lastModifiedBy>kobe axel</cp:lastModifiedBy>
  <cp:revision>2</cp:revision>
  <dcterms:created xsi:type="dcterms:W3CDTF">2016-12-04T17:18:00Z</dcterms:created>
  <dcterms:modified xsi:type="dcterms:W3CDTF">2016-12-04T17:18:00Z</dcterms:modified>
</cp:coreProperties>
</file>