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AE60D" w14:textId="77777777" w:rsidR="006F5BDE" w:rsidRPr="0005239E" w:rsidRDefault="00D947C9" w:rsidP="002B1B2B">
      <w:pPr>
        <w:rPr>
          <w:rFonts w:asciiTheme="minorHAnsi" w:hAnsiTheme="minorHAnsi" w:cstheme="minorHAnsi"/>
          <w:sz w:val="22"/>
        </w:rPr>
      </w:pPr>
      <w:r w:rsidRPr="0005239E">
        <w:rPr>
          <w:rFonts w:asciiTheme="minorHAnsi" w:hAnsiTheme="minorHAnsi" w:cstheme="minorHAnsi"/>
          <w:sz w:val="22"/>
        </w:rPr>
        <w:tab/>
      </w:r>
      <w:r w:rsidRPr="0005239E">
        <w:rPr>
          <w:rFonts w:asciiTheme="minorHAnsi" w:hAnsiTheme="minorHAnsi" w:cstheme="minorHAnsi"/>
          <w:sz w:val="22"/>
        </w:rPr>
        <w:tab/>
      </w:r>
      <w:r w:rsidRPr="0005239E">
        <w:rPr>
          <w:rFonts w:asciiTheme="minorHAnsi" w:hAnsiTheme="minorHAnsi" w:cstheme="minorHAnsi"/>
          <w:sz w:val="22"/>
        </w:rPr>
        <w:tab/>
      </w:r>
      <w:r w:rsidRPr="0005239E">
        <w:rPr>
          <w:rFonts w:asciiTheme="minorHAnsi" w:hAnsiTheme="minorHAnsi" w:cstheme="minorHAnsi"/>
          <w:sz w:val="22"/>
        </w:rPr>
        <w:tab/>
      </w:r>
      <w:r w:rsidRPr="0005239E">
        <w:rPr>
          <w:rFonts w:asciiTheme="minorHAnsi" w:hAnsiTheme="minorHAnsi" w:cstheme="minorHAnsi"/>
          <w:sz w:val="22"/>
        </w:rPr>
        <w:tab/>
      </w:r>
      <w:r w:rsidRPr="0005239E">
        <w:rPr>
          <w:rFonts w:asciiTheme="minorHAnsi" w:hAnsiTheme="minorHAnsi" w:cstheme="minorHAnsi"/>
          <w:sz w:val="22"/>
        </w:rPr>
        <w:tab/>
      </w:r>
      <w:r w:rsidRPr="0005239E">
        <w:rPr>
          <w:rFonts w:asciiTheme="minorHAnsi" w:hAnsiTheme="minorHAnsi" w:cstheme="minorHAnsi"/>
          <w:sz w:val="22"/>
        </w:rPr>
        <w:tab/>
      </w:r>
      <w:r w:rsidRPr="0005239E">
        <w:rPr>
          <w:rFonts w:asciiTheme="minorHAnsi" w:hAnsiTheme="minorHAnsi" w:cstheme="minorHAnsi"/>
          <w:sz w:val="22"/>
        </w:rPr>
        <w:tab/>
      </w:r>
      <w:r w:rsidR="006A3F11" w:rsidRPr="0005239E">
        <w:rPr>
          <w:rFonts w:asciiTheme="minorHAnsi" w:hAnsiTheme="minorHAnsi" w:cstheme="minorHAnsi"/>
          <w:sz w:val="22"/>
        </w:rPr>
        <w:tab/>
      </w:r>
      <w:bookmarkStart w:id="0" w:name="_GoBack"/>
      <w:bookmarkEnd w:id="0"/>
    </w:p>
    <w:p w14:paraId="620844D5" w14:textId="77777777" w:rsidR="00295AB2" w:rsidRPr="00DC01C9" w:rsidRDefault="004256B3" w:rsidP="00DC01C9">
      <w:pPr>
        <w:jc w:val="center"/>
        <w:rPr>
          <w:rFonts w:asciiTheme="majorHAnsi" w:hAnsiTheme="majorHAnsi" w:cstheme="minorHAnsi"/>
          <w:b/>
          <w:sz w:val="32"/>
          <w:szCs w:val="28"/>
        </w:rPr>
      </w:pPr>
      <w:r>
        <w:rPr>
          <w:rFonts w:asciiTheme="majorHAnsi" w:hAnsiTheme="majorHAnsi" w:cstheme="minorHAnsi"/>
          <w:b/>
          <w:sz w:val="32"/>
          <w:szCs w:val="28"/>
        </w:rPr>
        <w:t>HW4</w:t>
      </w:r>
    </w:p>
    <w:p w14:paraId="72457D7C" w14:textId="77777777" w:rsidR="00ED6CE0" w:rsidRPr="00DC01C9" w:rsidRDefault="00581A33" w:rsidP="004705F5">
      <w:pPr>
        <w:rPr>
          <w:rFonts w:asciiTheme="minorHAnsi" w:hAnsiTheme="minorHAnsi" w:cstheme="minorHAnsi"/>
          <w:b/>
          <w:sz w:val="22"/>
        </w:rPr>
      </w:pPr>
      <w:r w:rsidRPr="00DC01C9">
        <w:rPr>
          <w:rFonts w:asciiTheme="minorHAnsi" w:hAnsiTheme="minorHAnsi" w:cstheme="minorHAnsi"/>
          <w:b/>
          <w:sz w:val="22"/>
        </w:rPr>
        <w:t>FOR ANY SPREADSHEET, YOU MUST</w:t>
      </w:r>
      <w:r w:rsidR="00ED6CE0" w:rsidRPr="00DC01C9">
        <w:rPr>
          <w:rFonts w:asciiTheme="minorHAnsi" w:hAnsiTheme="minorHAnsi" w:cstheme="minorHAnsi"/>
          <w:b/>
          <w:sz w:val="22"/>
        </w:rPr>
        <w:t xml:space="preserve"> HIDE REPETITIVE ROWS THAT DO NOT ILLUSTR</w:t>
      </w:r>
      <w:r w:rsidRPr="00DC01C9">
        <w:rPr>
          <w:rFonts w:asciiTheme="minorHAnsi" w:hAnsiTheme="minorHAnsi" w:cstheme="minorHAnsi"/>
          <w:b/>
          <w:sz w:val="22"/>
        </w:rPr>
        <w:t>ATE ANYTHING SUBSTANTIALLY NEW</w:t>
      </w:r>
      <w:r w:rsidR="006F5BDE" w:rsidRPr="00DC01C9">
        <w:rPr>
          <w:rFonts w:asciiTheme="minorHAnsi" w:hAnsiTheme="minorHAnsi" w:cstheme="minorHAnsi"/>
          <w:b/>
          <w:sz w:val="22"/>
        </w:rPr>
        <w:t>.</w:t>
      </w:r>
      <w:r w:rsidRPr="00DC01C9">
        <w:rPr>
          <w:rFonts w:asciiTheme="minorHAnsi" w:hAnsiTheme="minorHAnsi" w:cstheme="minorHAnsi"/>
          <w:b/>
          <w:sz w:val="22"/>
        </w:rPr>
        <w:t xml:space="preserve"> </w:t>
      </w:r>
      <w:r w:rsidR="00ED6CE0" w:rsidRPr="00DC01C9">
        <w:rPr>
          <w:rFonts w:asciiTheme="minorHAnsi" w:hAnsiTheme="minorHAnsi" w:cstheme="minorHAnsi"/>
          <w:b/>
          <w:sz w:val="22"/>
        </w:rPr>
        <w:t xml:space="preserve">Do not make any </w:t>
      </w:r>
      <w:proofErr w:type="gramStart"/>
      <w:r w:rsidR="00ED6CE0" w:rsidRPr="00DC01C9">
        <w:rPr>
          <w:rFonts w:asciiTheme="minorHAnsi" w:hAnsiTheme="minorHAnsi" w:cstheme="minorHAnsi"/>
          <w:b/>
          <w:sz w:val="22"/>
        </w:rPr>
        <w:t xml:space="preserve">one </w:t>
      </w:r>
      <w:r w:rsidR="00092339" w:rsidRPr="00DC01C9">
        <w:rPr>
          <w:rFonts w:asciiTheme="minorHAnsi" w:hAnsiTheme="minorHAnsi" w:cstheme="minorHAnsi"/>
          <w:b/>
          <w:sz w:val="22"/>
        </w:rPr>
        <w:t>spreadsheet</w:t>
      </w:r>
      <w:proofErr w:type="gramEnd"/>
      <w:r w:rsidR="00092339" w:rsidRPr="00DC01C9">
        <w:rPr>
          <w:rFonts w:asciiTheme="minorHAnsi" w:hAnsiTheme="minorHAnsi" w:cstheme="minorHAnsi"/>
          <w:b/>
          <w:sz w:val="22"/>
        </w:rPr>
        <w:t xml:space="preserve"> printout more than 2 pages</w:t>
      </w:r>
      <w:r w:rsidR="00ED6CE0" w:rsidRPr="00DC01C9">
        <w:rPr>
          <w:rFonts w:asciiTheme="minorHAnsi" w:hAnsiTheme="minorHAnsi" w:cstheme="minorHAnsi"/>
          <w:b/>
          <w:sz w:val="22"/>
        </w:rPr>
        <w:t xml:space="preserve"> max (you wi</w:t>
      </w:r>
      <w:r w:rsidR="009E73AB" w:rsidRPr="00DC01C9">
        <w:rPr>
          <w:rFonts w:asciiTheme="minorHAnsi" w:hAnsiTheme="minorHAnsi" w:cstheme="minorHAnsi"/>
          <w:b/>
          <w:sz w:val="22"/>
        </w:rPr>
        <w:t>ll generally need only one</w:t>
      </w:r>
      <w:r w:rsidR="00ED6CE0" w:rsidRPr="00DC01C9">
        <w:rPr>
          <w:rFonts w:asciiTheme="minorHAnsi" w:hAnsiTheme="minorHAnsi" w:cstheme="minorHAnsi"/>
          <w:b/>
          <w:sz w:val="22"/>
        </w:rPr>
        <w:t xml:space="preserve">). </w:t>
      </w:r>
      <w:r w:rsidR="00FB1EB6" w:rsidRPr="00DC01C9">
        <w:rPr>
          <w:rFonts w:asciiTheme="minorHAnsi" w:hAnsiTheme="minorHAnsi" w:cstheme="minorHAnsi"/>
          <w:b/>
          <w:sz w:val="22"/>
        </w:rPr>
        <w:t>Do not continue table columns across several pages</w:t>
      </w:r>
      <w:r w:rsidR="000B4F51" w:rsidRPr="00DC01C9">
        <w:rPr>
          <w:rFonts w:asciiTheme="minorHAnsi" w:hAnsiTheme="minorHAnsi" w:cstheme="minorHAnsi"/>
          <w:b/>
          <w:sz w:val="22"/>
        </w:rPr>
        <w:t xml:space="preserve"> (best to print in landscape mode)</w:t>
      </w:r>
      <w:r w:rsidR="00FB1EB6" w:rsidRPr="00DC01C9">
        <w:rPr>
          <w:rFonts w:asciiTheme="minorHAnsi" w:hAnsiTheme="minorHAnsi" w:cstheme="minorHAnsi"/>
          <w:b/>
          <w:sz w:val="22"/>
        </w:rPr>
        <w:t xml:space="preserve">. </w:t>
      </w:r>
      <w:r w:rsidR="00ED6CE0" w:rsidRPr="00DC01C9">
        <w:rPr>
          <w:rFonts w:asciiTheme="minorHAnsi" w:hAnsiTheme="minorHAnsi" w:cstheme="minorHAnsi"/>
          <w:b/>
          <w:sz w:val="22"/>
        </w:rPr>
        <w:t xml:space="preserve">FAILURE TO DO </w:t>
      </w:r>
      <w:r w:rsidR="000B4F51" w:rsidRPr="00DC01C9">
        <w:rPr>
          <w:rFonts w:asciiTheme="minorHAnsi" w:hAnsiTheme="minorHAnsi" w:cstheme="minorHAnsi"/>
          <w:b/>
          <w:sz w:val="22"/>
        </w:rPr>
        <w:t xml:space="preserve">ALL THIS </w:t>
      </w:r>
      <w:r w:rsidR="00ED6CE0" w:rsidRPr="00DC01C9">
        <w:rPr>
          <w:rFonts w:asciiTheme="minorHAnsi" w:hAnsiTheme="minorHAnsi" w:cstheme="minorHAnsi"/>
          <w:b/>
          <w:sz w:val="22"/>
        </w:rPr>
        <w:t>WILL RESULT IN A LOSS OF FIVE (5) POINTS</w:t>
      </w:r>
      <w:r w:rsidR="00A01241" w:rsidRPr="00DC01C9">
        <w:rPr>
          <w:rFonts w:asciiTheme="minorHAnsi" w:hAnsiTheme="minorHAnsi" w:cstheme="minorHAnsi"/>
          <w:b/>
          <w:sz w:val="22"/>
        </w:rPr>
        <w:t>.</w:t>
      </w:r>
      <w:r w:rsidR="004B61E0" w:rsidRPr="00DC01C9">
        <w:rPr>
          <w:rFonts w:asciiTheme="minorHAnsi" w:hAnsiTheme="minorHAnsi" w:cstheme="minorHAnsi"/>
          <w:b/>
          <w:sz w:val="22"/>
        </w:rPr>
        <w:t xml:space="preserve"> </w:t>
      </w:r>
      <w:proofErr w:type="gramStart"/>
      <w:r w:rsidR="004B61E0" w:rsidRPr="00DC01C9">
        <w:rPr>
          <w:rFonts w:asciiTheme="minorHAnsi" w:hAnsiTheme="minorHAnsi" w:cstheme="minorHAnsi"/>
          <w:b/>
          <w:sz w:val="22"/>
        </w:rPr>
        <w:t>41</w:t>
      </w:r>
      <w:r w:rsidR="00756DF9" w:rsidRPr="00DC01C9">
        <w:rPr>
          <w:rFonts w:asciiTheme="minorHAnsi" w:hAnsiTheme="minorHAnsi" w:cstheme="minorHAnsi"/>
          <w:b/>
          <w:sz w:val="22"/>
        </w:rPr>
        <w:t xml:space="preserve"> points total.</w:t>
      </w:r>
      <w:proofErr w:type="gramEnd"/>
    </w:p>
    <w:p w14:paraId="6EEC03A4" w14:textId="77777777" w:rsidR="00ED6CE0" w:rsidRPr="0005239E" w:rsidRDefault="00ED6CE0" w:rsidP="004705F5">
      <w:pPr>
        <w:rPr>
          <w:rFonts w:asciiTheme="minorHAnsi" w:hAnsiTheme="minorHAnsi" w:cstheme="minorHAnsi"/>
          <w:sz w:val="22"/>
        </w:rPr>
      </w:pPr>
    </w:p>
    <w:p w14:paraId="6F54A5AF" w14:textId="77777777" w:rsidR="00581A33" w:rsidRPr="0005239E" w:rsidRDefault="00581A33" w:rsidP="004705F5">
      <w:pPr>
        <w:rPr>
          <w:rFonts w:asciiTheme="minorHAnsi" w:hAnsiTheme="minorHAnsi" w:cstheme="minorHAnsi"/>
          <w:sz w:val="22"/>
        </w:rPr>
      </w:pPr>
      <w:r w:rsidRPr="0005239E">
        <w:rPr>
          <w:rFonts w:asciiTheme="minorHAnsi" w:hAnsiTheme="minorHAnsi" w:cstheme="minorHAnsi"/>
          <w:sz w:val="22"/>
        </w:rPr>
        <w:t>ANNOTATE any formulae that involve more than addition and subtraction (</w:t>
      </w:r>
      <w:r w:rsidRPr="0005239E">
        <w:rPr>
          <w:rFonts w:asciiTheme="minorHAnsi" w:hAnsiTheme="minorHAnsi" w:cstheme="minorHAnsi"/>
          <w:i/>
          <w:sz w:val="22"/>
        </w:rPr>
        <w:t>e.g</w:t>
      </w:r>
      <w:r w:rsidRPr="0005239E">
        <w:rPr>
          <w:rFonts w:asciiTheme="minorHAnsi" w:hAnsiTheme="minorHAnsi" w:cstheme="minorHAnsi"/>
          <w:sz w:val="22"/>
        </w:rPr>
        <w:t>.</w:t>
      </w:r>
      <w:r w:rsidR="009158FF" w:rsidRPr="0005239E">
        <w:rPr>
          <w:rFonts w:asciiTheme="minorHAnsi" w:hAnsiTheme="minorHAnsi" w:cstheme="minorHAnsi"/>
          <w:sz w:val="22"/>
        </w:rPr>
        <w:t>, using a pen</w:t>
      </w:r>
      <w:r w:rsidRPr="0005239E">
        <w:rPr>
          <w:rFonts w:asciiTheme="minorHAnsi" w:hAnsiTheme="minorHAnsi" w:cstheme="minorHAnsi"/>
          <w:sz w:val="22"/>
        </w:rPr>
        <w:t xml:space="preserve"> </w:t>
      </w:r>
      <w:r w:rsidR="00760057" w:rsidRPr="0005239E">
        <w:rPr>
          <w:rFonts w:asciiTheme="minorHAnsi" w:hAnsiTheme="minorHAnsi" w:cstheme="minorHAnsi"/>
          <w:sz w:val="22"/>
        </w:rPr>
        <w:t xml:space="preserve">or Office’s comment feature - </w:t>
      </w:r>
      <w:r w:rsidRPr="0005239E">
        <w:rPr>
          <w:rFonts w:asciiTheme="minorHAnsi" w:hAnsiTheme="minorHAnsi" w:cstheme="minorHAnsi"/>
          <w:sz w:val="22"/>
        </w:rPr>
        <w:t>just one period will suffice</w:t>
      </w:r>
      <w:r w:rsidR="00760057" w:rsidRPr="0005239E">
        <w:rPr>
          <w:rFonts w:asciiTheme="minorHAnsi" w:hAnsiTheme="minorHAnsi" w:cstheme="minorHAnsi"/>
          <w:sz w:val="22"/>
        </w:rPr>
        <w:t>, of course</w:t>
      </w:r>
      <w:r w:rsidRPr="0005239E">
        <w:rPr>
          <w:rFonts w:asciiTheme="minorHAnsi" w:hAnsiTheme="minorHAnsi" w:cstheme="minorHAnsi"/>
          <w:sz w:val="22"/>
        </w:rPr>
        <w:t>)</w:t>
      </w:r>
    </w:p>
    <w:p w14:paraId="1D651533" w14:textId="77777777" w:rsidR="004705F5" w:rsidRPr="0005239E" w:rsidRDefault="004705F5">
      <w:pPr>
        <w:rPr>
          <w:rFonts w:asciiTheme="minorHAnsi" w:hAnsiTheme="minorHAnsi" w:cstheme="minorHAnsi"/>
          <w:sz w:val="22"/>
        </w:rPr>
      </w:pPr>
    </w:p>
    <w:p w14:paraId="49EB0B49" w14:textId="77777777" w:rsidR="004F6761" w:rsidRPr="007A0205" w:rsidRDefault="009F7C4C" w:rsidP="0011189C">
      <w:pPr>
        <w:pStyle w:val="ListParagraph"/>
        <w:numPr>
          <w:ilvl w:val="0"/>
          <w:numId w:val="15"/>
        </w:numPr>
        <w:rPr>
          <w:rFonts w:asciiTheme="minorHAnsi" w:hAnsiTheme="minorHAnsi" w:cstheme="minorHAnsi"/>
          <w:b/>
          <w:sz w:val="22"/>
        </w:rPr>
      </w:pPr>
      <w:r w:rsidRPr="007A0205">
        <w:rPr>
          <w:rFonts w:asciiTheme="minorHAnsi" w:hAnsiTheme="minorHAnsi" w:cstheme="minorHAnsi"/>
          <w:b/>
          <w:sz w:val="22"/>
        </w:rPr>
        <w:t>[22pts]</w:t>
      </w:r>
    </w:p>
    <w:p w14:paraId="591CCD7A" w14:textId="77777777" w:rsidR="00423D25" w:rsidRDefault="004F6761" w:rsidP="00423D25">
      <w:pPr>
        <w:pStyle w:val="ListParagraph"/>
        <w:numPr>
          <w:ilvl w:val="1"/>
          <w:numId w:val="15"/>
        </w:numPr>
        <w:rPr>
          <w:rFonts w:asciiTheme="minorHAnsi" w:hAnsiTheme="minorHAnsi" w:cstheme="minorHAnsi"/>
          <w:sz w:val="22"/>
        </w:rPr>
      </w:pPr>
      <w:r>
        <w:rPr>
          <w:rFonts w:asciiTheme="minorHAnsi" w:hAnsiTheme="minorHAnsi" w:cstheme="minorHAnsi"/>
          <w:sz w:val="22"/>
        </w:rPr>
        <w:t xml:space="preserve">[20pts] </w:t>
      </w:r>
      <w:r w:rsidR="00D77D1B" w:rsidRPr="0011189C">
        <w:rPr>
          <w:rFonts w:asciiTheme="minorHAnsi" w:hAnsiTheme="minorHAnsi" w:cstheme="minorHAnsi"/>
          <w:sz w:val="22"/>
        </w:rPr>
        <w:t xml:space="preserve">Consider a </w:t>
      </w:r>
      <w:r w:rsidR="00611A1A" w:rsidRPr="0011189C">
        <w:rPr>
          <w:rFonts w:asciiTheme="minorHAnsi" w:hAnsiTheme="minorHAnsi" w:cstheme="minorHAnsi"/>
          <w:sz w:val="22"/>
        </w:rPr>
        <w:t>1</w:t>
      </w:r>
      <w:r w:rsidR="00FB1EB6" w:rsidRPr="0011189C">
        <w:rPr>
          <w:rFonts w:asciiTheme="minorHAnsi" w:hAnsiTheme="minorHAnsi" w:cstheme="minorHAnsi"/>
          <w:sz w:val="22"/>
        </w:rPr>
        <w:t>00</w:t>
      </w:r>
      <w:r w:rsidR="00611A1A" w:rsidRPr="0011189C">
        <w:rPr>
          <w:rFonts w:asciiTheme="minorHAnsi" w:hAnsiTheme="minorHAnsi" w:cstheme="minorHAnsi"/>
          <w:sz w:val="22"/>
        </w:rPr>
        <w:t xml:space="preserve">,000,000 </w:t>
      </w:r>
      <w:r w:rsidR="00760057" w:rsidRPr="0011189C">
        <w:rPr>
          <w:rFonts w:asciiTheme="minorHAnsi" w:hAnsiTheme="minorHAnsi" w:cstheme="minorHAnsi"/>
          <w:sz w:val="22"/>
        </w:rPr>
        <w:t>CMBS</w:t>
      </w:r>
      <w:r w:rsidR="00D77D1B" w:rsidRPr="0011189C">
        <w:rPr>
          <w:rFonts w:asciiTheme="minorHAnsi" w:hAnsiTheme="minorHAnsi" w:cstheme="minorHAnsi"/>
          <w:sz w:val="22"/>
        </w:rPr>
        <w:t xml:space="preserve"> pass-through</w:t>
      </w:r>
      <w:r w:rsidR="00760057" w:rsidRPr="0011189C">
        <w:rPr>
          <w:rFonts w:asciiTheme="minorHAnsi" w:hAnsiTheme="minorHAnsi" w:cstheme="minorHAnsi"/>
          <w:sz w:val="22"/>
        </w:rPr>
        <w:t xml:space="preserve"> </w:t>
      </w:r>
      <w:r w:rsidR="0072761D" w:rsidRPr="0011189C">
        <w:rPr>
          <w:rFonts w:asciiTheme="minorHAnsi" w:hAnsiTheme="minorHAnsi" w:cstheme="minorHAnsi"/>
          <w:sz w:val="22"/>
        </w:rPr>
        <w:t xml:space="preserve">(PT) </w:t>
      </w:r>
      <w:r w:rsidR="00760057" w:rsidRPr="0011189C">
        <w:rPr>
          <w:rFonts w:asciiTheme="minorHAnsi" w:hAnsiTheme="minorHAnsi" w:cstheme="minorHAnsi"/>
          <w:sz w:val="22"/>
        </w:rPr>
        <w:t>security consisting of fresh 15</w:t>
      </w:r>
      <w:r w:rsidR="00D77D1B" w:rsidRPr="0011189C">
        <w:rPr>
          <w:rFonts w:asciiTheme="minorHAnsi" w:hAnsiTheme="minorHAnsi" w:cstheme="minorHAnsi"/>
          <w:sz w:val="22"/>
        </w:rPr>
        <w:t xml:space="preserve"> year fixed rate</w:t>
      </w:r>
      <w:r w:rsidR="00760057" w:rsidRPr="0011189C">
        <w:rPr>
          <w:rFonts w:asciiTheme="minorHAnsi" w:hAnsiTheme="minorHAnsi" w:cstheme="minorHAnsi"/>
          <w:sz w:val="22"/>
        </w:rPr>
        <w:t xml:space="preserve"> loans that </w:t>
      </w:r>
      <w:r w:rsidR="009A22E4" w:rsidRPr="0011189C">
        <w:rPr>
          <w:rFonts w:asciiTheme="minorHAnsi" w:hAnsiTheme="minorHAnsi" w:cstheme="minorHAnsi"/>
          <w:sz w:val="22"/>
        </w:rPr>
        <w:t xml:space="preserve">fully </w:t>
      </w:r>
      <w:r w:rsidR="00760057" w:rsidRPr="0011189C">
        <w:rPr>
          <w:rFonts w:asciiTheme="minorHAnsi" w:hAnsiTheme="minorHAnsi" w:cstheme="minorHAnsi"/>
          <w:sz w:val="22"/>
        </w:rPr>
        <w:t>amortize over a period of 30 years</w:t>
      </w:r>
      <w:r w:rsidR="00E059CF" w:rsidRPr="0011189C">
        <w:rPr>
          <w:rFonts w:asciiTheme="minorHAnsi" w:hAnsiTheme="minorHAnsi" w:cstheme="minorHAnsi"/>
          <w:sz w:val="22"/>
        </w:rPr>
        <w:t>,</w:t>
      </w:r>
      <w:r w:rsidR="00760057" w:rsidRPr="0011189C">
        <w:rPr>
          <w:rFonts w:asciiTheme="minorHAnsi" w:hAnsiTheme="minorHAnsi" w:cstheme="minorHAnsi"/>
          <w:sz w:val="22"/>
        </w:rPr>
        <w:t xml:space="preserve"> and have a WAC of 7% with</w:t>
      </w:r>
      <w:r w:rsidR="003B48FA" w:rsidRPr="0011189C">
        <w:rPr>
          <w:rFonts w:asciiTheme="minorHAnsi" w:hAnsiTheme="minorHAnsi" w:cstheme="minorHAnsi"/>
          <w:sz w:val="22"/>
        </w:rPr>
        <w:t xml:space="preserve"> </w:t>
      </w:r>
      <w:r w:rsidR="00D77D1B" w:rsidRPr="0011189C">
        <w:rPr>
          <w:rFonts w:asciiTheme="minorHAnsi" w:hAnsiTheme="minorHAnsi" w:cstheme="minorHAnsi"/>
          <w:sz w:val="22"/>
        </w:rPr>
        <w:t xml:space="preserve">fees amounting to 0.5%. </w:t>
      </w:r>
      <w:r w:rsidR="00A53D43" w:rsidRPr="0011189C">
        <w:rPr>
          <w:rFonts w:asciiTheme="minorHAnsi" w:hAnsiTheme="minorHAnsi" w:cstheme="minorHAnsi"/>
          <w:sz w:val="22"/>
        </w:rPr>
        <w:t xml:space="preserve"> </w:t>
      </w:r>
      <w:r w:rsidR="00A01241" w:rsidRPr="0011189C">
        <w:rPr>
          <w:rFonts w:asciiTheme="minorHAnsi" w:hAnsiTheme="minorHAnsi" w:cstheme="minorHAnsi"/>
          <w:sz w:val="22"/>
        </w:rPr>
        <w:t>For purposes of this HW, a CMBS is like a RMBS, except that a</w:t>
      </w:r>
      <w:r w:rsidR="00760057" w:rsidRPr="0011189C">
        <w:rPr>
          <w:rFonts w:asciiTheme="minorHAnsi" w:hAnsiTheme="minorHAnsi" w:cstheme="minorHAnsi"/>
          <w:sz w:val="22"/>
        </w:rPr>
        <w:t>ll loans have a prepayme</w:t>
      </w:r>
      <w:r w:rsidR="00E059CF" w:rsidRPr="0011189C">
        <w:rPr>
          <w:rFonts w:asciiTheme="minorHAnsi" w:hAnsiTheme="minorHAnsi" w:cstheme="minorHAnsi"/>
          <w:sz w:val="22"/>
        </w:rPr>
        <w:t xml:space="preserve">nt </w:t>
      </w:r>
      <w:proofErr w:type="gramStart"/>
      <w:r w:rsidR="00E059CF" w:rsidRPr="0011189C">
        <w:rPr>
          <w:rFonts w:asciiTheme="minorHAnsi" w:hAnsiTheme="minorHAnsi" w:cstheme="minorHAnsi"/>
          <w:sz w:val="22"/>
        </w:rPr>
        <w:t>lo</w:t>
      </w:r>
      <w:r w:rsidR="008C534D" w:rsidRPr="0011189C">
        <w:rPr>
          <w:rFonts w:asciiTheme="minorHAnsi" w:hAnsiTheme="minorHAnsi" w:cstheme="minorHAnsi"/>
          <w:sz w:val="22"/>
        </w:rPr>
        <w:t>ck-out</w:t>
      </w:r>
      <w:proofErr w:type="gramEnd"/>
      <w:r w:rsidR="008C534D" w:rsidRPr="0011189C">
        <w:rPr>
          <w:rFonts w:asciiTheme="minorHAnsi" w:hAnsiTheme="minorHAnsi" w:cstheme="minorHAnsi"/>
          <w:sz w:val="22"/>
        </w:rPr>
        <w:t xml:space="preserve"> </w:t>
      </w:r>
      <w:r w:rsidR="00A01241" w:rsidRPr="0011189C">
        <w:rPr>
          <w:rFonts w:asciiTheme="minorHAnsi" w:hAnsiTheme="minorHAnsi" w:cstheme="minorHAnsi"/>
          <w:sz w:val="22"/>
        </w:rPr>
        <w:t xml:space="preserve">(assume </w:t>
      </w:r>
      <w:r w:rsidR="008C534D" w:rsidRPr="0011189C">
        <w:rPr>
          <w:rFonts w:asciiTheme="minorHAnsi" w:hAnsiTheme="minorHAnsi" w:cstheme="minorHAnsi"/>
          <w:sz w:val="22"/>
        </w:rPr>
        <w:t>for the entire term</w:t>
      </w:r>
      <w:r w:rsidR="00A01241" w:rsidRPr="0011189C">
        <w:rPr>
          <w:rFonts w:asciiTheme="minorHAnsi" w:hAnsiTheme="minorHAnsi" w:cstheme="minorHAnsi"/>
          <w:sz w:val="22"/>
        </w:rPr>
        <w:t>), but default occurs according to the standard SDA function</w:t>
      </w:r>
      <w:r w:rsidR="008C534D" w:rsidRPr="0011189C">
        <w:rPr>
          <w:rFonts w:asciiTheme="minorHAnsi" w:hAnsiTheme="minorHAnsi" w:cstheme="minorHAnsi"/>
          <w:sz w:val="22"/>
        </w:rPr>
        <w:t xml:space="preserve">. </w:t>
      </w:r>
      <w:r w:rsidR="00A01241" w:rsidRPr="0011189C">
        <w:rPr>
          <w:rFonts w:asciiTheme="minorHAnsi" w:hAnsiTheme="minorHAnsi" w:cstheme="minorHAnsi"/>
          <w:sz w:val="22"/>
        </w:rPr>
        <w:t>Additionally, since the loans do not fully amortize, there is generally a balloon loss - quoted as a fraction of the outs</w:t>
      </w:r>
      <w:r w:rsidR="00402B48" w:rsidRPr="0011189C">
        <w:rPr>
          <w:rFonts w:asciiTheme="minorHAnsi" w:hAnsiTheme="minorHAnsi" w:cstheme="minorHAnsi"/>
          <w:sz w:val="22"/>
        </w:rPr>
        <w:t>tanding balance at mortgage maturity</w:t>
      </w:r>
      <w:r w:rsidR="00A01241" w:rsidRPr="0011189C">
        <w:rPr>
          <w:rFonts w:asciiTheme="minorHAnsi" w:hAnsiTheme="minorHAnsi" w:cstheme="minorHAnsi"/>
          <w:sz w:val="22"/>
        </w:rPr>
        <w:t>. To simplify, a</w:t>
      </w:r>
      <w:r w:rsidR="00E059CF" w:rsidRPr="0011189C">
        <w:rPr>
          <w:rFonts w:asciiTheme="minorHAnsi" w:hAnsiTheme="minorHAnsi" w:cstheme="minorHAnsi"/>
          <w:sz w:val="22"/>
        </w:rPr>
        <w:t xml:space="preserve">ssume </w:t>
      </w:r>
      <w:r w:rsidR="008C534D" w:rsidRPr="0011189C">
        <w:rPr>
          <w:rFonts w:asciiTheme="minorHAnsi" w:hAnsiTheme="minorHAnsi" w:cstheme="minorHAnsi"/>
          <w:sz w:val="22"/>
        </w:rPr>
        <w:t>that</w:t>
      </w:r>
      <w:r w:rsidR="00A01241" w:rsidRPr="0011189C">
        <w:rPr>
          <w:rFonts w:asciiTheme="minorHAnsi" w:hAnsiTheme="minorHAnsi" w:cstheme="minorHAnsi"/>
          <w:sz w:val="22"/>
        </w:rPr>
        <w:t xml:space="preserve"> there is no recovery (unrealistic, of course)</w:t>
      </w:r>
      <w:r w:rsidR="00E059CF" w:rsidRPr="0011189C">
        <w:rPr>
          <w:rFonts w:asciiTheme="minorHAnsi" w:hAnsiTheme="minorHAnsi" w:cstheme="minorHAnsi"/>
          <w:sz w:val="22"/>
        </w:rPr>
        <w:t>.</w:t>
      </w:r>
      <w:r w:rsidR="00402B48" w:rsidRPr="0011189C">
        <w:rPr>
          <w:rFonts w:asciiTheme="minorHAnsi" w:hAnsiTheme="minorHAnsi" w:cstheme="minorHAnsi"/>
          <w:sz w:val="22"/>
        </w:rPr>
        <w:t xml:space="preserve"> Assume that </w:t>
      </w:r>
      <w:r w:rsidR="00756DF9" w:rsidRPr="0011189C">
        <w:rPr>
          <w:rFonts w:asciiTheme="minorHAnsi" w:hAnsiTheme="minorHAnsi" w:cstheme="minorHAnsi"/>
          <w:sz w:val="22"/>
        </w:rPr>
        <w:t>t</w:t>
      </w:r>
      <w:r w:rsidR="00833A08">
        <w:rPr>
          <w:rFonts w:asciiTheme="minorHAnsi" w:hAnsiTheme="minorHAnsi" w:cstheme="minorHAnsi"/>
          <w:sz w:val="22"/>
        </w:rPr>
        <w:t>he PT</w:t>
      </w:r>
      <w:r w:rsidR="002B1EC8" w:rsidRPr="0011189C">
        <w:rPr>
          <w:rFonts w:asciiTheme="minorHAnsi" w:hAnsiTheme="minorHAnsi" w:cstheme="minorHAnsi"/>
          <w:sz w:val="22"/>
        </w:rPr>
        <w:t xml:space="preserve"> is sold at </w:t>
      </w:r>
      <w:r w:rsidR="001F2686">
        <w:rPr>
          <w:rFonts w:asciiTheme="minorHAnsi" w:hAnsiTheme="minorHAnsi" w:cstheme="minorHAnsi"/>
          <w:sz w:val="22"/>
        </w:rPr>
        <w:t>94.345.</w:t>
      </w:r>
      <w:r>
        <w:rPr>
          <w:rFonts w:asciiTheme="minorHAnsi" w:hAnsiTheme="minorHAnsi" w:cstheme="minorHAnsi"/>
          <w:sz w:val="22"/>
        </w:rPr>
        <w:t xml:space="preserve"> Allow</w:t>
      </w:r>
      <w:r w:rsidR="009B7D17" w:rsidRPr="004F6761">
        <w:rPr>
          <w:rFonts w:asciiTheme="minorHAnsi" w:hAnsiTheme="minorHAnsi" w:cstheme="minorHAnsi"/>
          <w:sz w:val="22"/>
        </w:rPr>
        <w:t xml:space="preserve"> for loans t</w:t>
      </w:r>
      <w:r w:rsidR="00C555B8" w:rsidRPr="004F6761">
        <w:rPr>
          <w:rFonts w:asciiTheme="minorHAnsi" w:hAnsiTheme="minorHAnsi" w:cstheme="minorHAnsi"/>
          <w:sz w:val="22"/>
        </w:rPr>
        <w:t>o default at the PSA’s SDA CDR</w:t>
      </w:r>
      <w:r w:rsidR="00257D4E" w:rsidRPr="004F6761">
        <w:rPr>
          <w:rFonts w:asciiTheme="minorHAnsi" w:hAnsiTheme="minorHAnsi" w:cstheme="minorHAnsi"/>
          <w:sz w:val="22"/>
        </w:rPr>
        <w:t>,</w:t>
      </w:r>
      <w:r w:rsidR="00C555B8" w:rsidRPr="004F6761">
        <w:rPr>
          <w:rFonts w:asciiTheme="minorHAnsi" w:hAnsiTheme="minorHAnsi" w:cstheme="minorHAnsi"/>
          <w:sz w:val="22"/>
        </w:rPr>
        <w:t xml:space="preserve"> and allow for balloon risk. The current (corresponding maturity) Treasury </w:t>
      </w:r>
      <w:proofErr w:type="gramStart"/>
      <w:r w:rsidR="00C555B8" w:rsidRPr="004F6761">
        <w:rPr>
          <w:rFonts w:asciiTheme="minorHAnsi" w:hAnsiTheme="minorHAnsi" w:cstheme="minorHAnsi"/>
          <w:sz w:val="22"/>
        </w:rPr>
        <w:t>yield</w:t>
      </w:r>
      <w:proofErr w:type="gramEnd"/>
      <w:r w:rsidR="00C555B8" w:rsidRPr="004F6761">
        <w:rPr>
          <w:rFonts w:asciiTheme="minorHAnsi" w:hAnsiTheme="minorHAnsi" w:cstheme="minorHAnsi"/>
          <w:sz w:val="22"/>
        </w:rPr>
        <w:t xml:space="preserve"> is 5%. Create a table and graph of the spread (in bps) of cash flow yield to Treasury</w:t>
      </w:r>
      <w:r w:rsidR="00753965" w:rsidRPr="004F6761">
        <w:rPr>
          <w:rFonts w:asciiTheme="minorHAnsi" w:hAnsiTheme="minorHAnsi" w:cstheme="minorHAnsi"/>
          <w:sz w:val="22"/>
        </w:rPr>
        <w:t xml:space="preserve"> versus SDA</w:t>
      </w:r>
      <w:r w:rsidR="007D40B7" w:rsidRPr="004F6761">
        <w:rPr>
          <w:rFonts w:asciiTheme="minorHAnsi" w:hAnsiTheme="minorHAnsi" w:cstheme="minorHAnsi"/>
          <w:sz w:val="22"/>
        </w:rPr>
        <w:t>,</w:t>
      </w:r>
      <w:r w:rsidR="00753965" w:rsidRPr="004F6761">
        <w:rPr>
          <w:rFonts w:asciiTheme="minorHAnsi" w:hAnsiTheme="minorHAnsi" w:cstheme="minorHAnsi"/>
          <w:sz w:val="22"/>
        </w:rPr>
        <w:t xml:space="preserve"> for 0% </w:t>
      </w:r>
      <w:r w:rsidR="001049C2" w:rsidRPr="004F6761">
        <w:rPr>
          <w:rFonts w:asciiTheme="minorHAnsi" w:hAnsiTheme="minorHAnsi" w:cstheme="minorHAnsi"/>
          <w:sz w:val="22"/>
        </w:rPr>
        <w:t xml:space="preserve">and 10% balloon loss. </w:t>
      </w:r>
      <w:r w:rsidR="00402B48" w:rsidRPr="004F6761">
        <w:rPr>
          <w:rFonts w:asciiTheme="minorHAnsi" w:hAnsiTheme="minorHAnsi" w:cstheme="minorHAnsi"/>
          <w:i/>
          <w:sz w:val="22"/>
        </w:rPr>
        <w:t>In the</w:t>
      </w:r>
      <w:r w:rsidR="009C7F42" w:rsidRPr="004F6761">
        <w:rPr>
          <w:rFonts w:asciiTheme="minorHAnsi" w:hAnsiTheme="minorHAnsi" w:cstheme="minorHAnsi"/>
          <w:i/>
          <w:sz w:val="22"/>
        </w:rPr>
        <w:t xml:space="preserve"> spreadsheet </w:t>
      </w:r>
      <w:r w:rsidR="00402B48" w:rsidRPr="004F6761">
        <w:rPr>
          <w:rFonts w:asciiTheme="minorHAnsi" w:hAnsiTheme="minorHAnsi" w:cstheme="minorHAnsi"/>
          <w:i/>
          <w:sz w:val="22"/>
        </w:rPr>
        <w:t xml:space="preserve">that you </w:t>
      </w:r>
      <w:r w:rsidR="009C7F42" w:rsidRPr="004F6761">
        <w:rPr>
          <w:rFonts w:asciiTheme="minorHAnsi" w:hAnsiTheme="minorHAnsi" w:cstheme="minorHAnsi"/>
          <w:i/>
          <w:sz w:val="22"/>
        </w:rPr>
        <w:t>h</w:t>
      </w:r>
      <w:r w:rsidR="0002713E" w:rsidRPr="004F6761">
        <w:rPr>
          <w:rFonts w:asciiTheme="minorHAnsi" w:hAnsiTheme="minorHAnsi" w:cstheme="minorHAnsi"/>
          <w:i/>
          <w:sz w:val="22"/>
        </w:rPr>
        <w:t>and-in</w:t>
      </w:r>
      <w:r w:rsidR="0002713E" w:rsidRPr="004F6761">
        <w:rPr>
          <w:rFonts w:asciiTheme="minorHAnsi" w:hAnsiTheme="minorHAnsi" w:cstheme="minorHAnsi"/>
          <w:sz w:val="22"/>
        </w:rPr>
        <w:t>, show the situation for 1</w:t>
      </w:r>
      <w:r w:rsidR="009C7F42" w:rsidRPr="004F6761">
        <w:rPr>
          <w:rFonts w:asciiTheme="minorHAnsi" w:hAnsiTheme="minorHAnsi" w:cstheme="minorHAnsi"/>
          <w:sz w:val="22"/>
        </w:rPr>
        <w:t>00</w:t>
      </w:r>
      <w:r w:rsidR="00E879C0" w:rsidRPr="004F6761">
        <w:rPr>
          <w:rFonts w:asciiTheme="minorHAnsi" w:hAnsiTheme="minorHAnsi" w:cstheme="minorHAnsi"/>
          <w:sz w:val="22"/>
        </w:rPr>
        <w:t xml:space="preserve"> </w:t>
      </w:r>
      <w:r w:rsidR="009C7F42" w:rsidRPr="004F6761">
        <w:rPr>
          <w:rFonts w:asciiTheme="minorHAnsi" w:hAnsiTheme="minorHAnsi" w:cstheme="minorHAnsi"/>
          <w:sz w:val="22"/>
        </w:rPr>
        <w:t xml:space="preserve">SDA and 10% balloon loss. </w:t>
      </w:r>
      <w:r w:rsidR="002C1A08" w:rsidRPr="004F6761">
        <w:rPr>
          <w:rFonts w:asciiTheme="minorHAnsi" w:hAnsiTheme="minorHAnsi" w:cstheme="minorHAnsi"/>
          <w:sz w:val="22"/>
        </w:rPr>
        <w:t xml:space="preserve">Use par pricing. </w:t>
      </w:r>
      <w:r w:rsidR="008C534D" w:rsidRPr="004F6761">
        <w:rPr>
          <w:rFonts w:asciiTheme="minorHAnsi" w:hAnsiTheme="minorHAnsi" w:cstheme="minorHAnsi"/>
          <w:sz w:val="22"/>
        </w:rPr>
        <w:t>See notes below for further assumptions and hints.</w:t>
      </w:r>
    </w:p>
    <w:p w14:paraId="4103B8FB" w14:textId="77777777" w:rsidR="001B5A78" w:rsidRPr="00423D25" w:rsidRDefault="00423D25" w:rsidP="00423D25">
      <w:pPr>
        <w:pStyle w:val="ListParagraph"/>
        <w:numPr>
          <w:ilvl w:val="1"/>
          <w:numId w:val="15"/>
        </w:numPr>
        <w:rPr>
          <w:rFonts w:asciiTheme="minorHAnsi" w:hAnsiTheme="minorHAnsi" w:cstheme="minorHAnsi"/>
          <w:sz w:val="22"/>
        </w:rPr>
      </w:pPr>
      <w:r>
        <w:rPr>
          <w:rFonts w:asciiTheme="minorHAnsi" w:hAnsiTheme="minorHAnsi" w:cstheme="minorHAnsi"/>
          <w:sz w:val="22"/>
        </w:rPr>
        <w:t xml:space="preserve">[2pts] </w:t>
      </w:r>
      <w:r w:rsidR="001B5A78" w:rsidRPr="00423D25">
        <w:rPr>
          <w:rFonts w:asciiTheme="minorHAnsi" w:hAnsiTheme="minorHAnsi" w:cstheme="minorHAnsi"/>
          <w:sz w:val="22"/>
        </w:rPr>
        <w:t>Why is there generally a large fraction of outstanding</w:t>
      </w:r>
      <w:r w:rsidR="00402B48" w:rsidRPr="00423D25">
        <w:rPr>
          <w:rFonts w:asciiTheme="minorHAnsi" w:hAnsiTheme="minorHAnsi" w:cstheme="minorHAnsi"/>
          <w:sz w:val="22"/>
        </w:rPr>
        <w:t xml:space="preserve"> principal that defaults at maturity</w:t>
      </w:r>
      <w:r w:rsidR="001B5A78" w:rsidRPr="00423D25">
        <w:rPr>
          <w:rFonts w:asciiTheme="minorHAnsi" w:hAnsiTheme="minorHAnsi" w:cstheme="minorHAnsi"/>
          <w:sz w:val="22"/>
        </w:rPr>
        <w:t>?</w:t>
      </w:r>
    </w:p>
    <w:p w14:paraId="46DC5218" w14:textId="77777777" w:rsidR="00760057" w:rsidRPr="0005239E" w:rsidRDefault="00760057" w:rsidP="00760057">
      <w:pPr>
        <w:rPr>
          <w:rFonts w:asciiTheme="minorHAnsi" w:hAnsiTheme="minorHAnsi" w:cstheme="minorHAnsi"/>
          <w:sz w:val="22"/>
        </w:rPr>
      </w:pPr>
    </w:p>
    <w:p w14:paraId="0D46458D" w14:textId="77777777" w:rsidR="003252BA" w:rsidRDefault="003252BA" w:rsidP="00D032E5">
      <w:pPr>
        <w:rPr>
          <w:rFonts w:asciiTheme="minorHAnsi" w:hAnsiTheme="minorHAnsi" w:cstheme="minorHAnsi"/>
          <w:sz w:val="22"/>
        </w:rPr>
      </w:pPr>
    </w:p>
    <w:p w14:paraId="5BE6FC1A" w14:textId="77777777" w:rsidR="003252BA" w:rsidRDefault="003252BA" w:rsidP="00D032E5">
      <w:pPr>
        <w:rPr>
          <w:rFonts w:asciiTheme="minorHAnsi" w:hAnsiTheme="minorHAnsi" w:cstheme="minorHAnsi"/>
          <w:sz w:val="22"/>
        </w:rPr>
      </w:pPr>
    </w:p>
    <w:p w14:paraId="47624F08" w14:textId="77777777" w:rsidR="003252BA" w:rsidRDefault="00BA0E16" w:rsidP="003252BA">
      <w:pPr>
        <w:pStyle w:val="ListParagraph"/>
        <w:numPr>
          <w:ilvl w:val="0"/>
          <w:numId w:val="15"/>
        </w:numPr>
        <w:rPr>
          <w:rFonts w:asciiTheme="minorHAnsi" w:hAnsiTheme="minorHAnsi" w:cstheme="minorHAnsi"/>
          <w:sz w:val="22"/>
        </w:rPr>
      </w:pPr>
      <w:r w:rsidRPr="007A0205">
        <w:rPr>
          <w:rFonts w:asciiTheme="minorHAnsi" w:hAnsiTheme="minorHAnsi" w:cstheme="minorHAnsi"/>
          <w:b/>
          <w:sz w:val="22"/>
        </w:rPr>
        <w:t>[8pts]</w:t>
      </w:r>
      <w:r>
        <w:rPr>
          <w:rFonts w:asciiTheme="minorHAnsi" w:hAnsiTheme="minorHAnsi" w:cstheme="minorHAnsi"/>
          <w:sz w:val="22"/>
        </w:rPr>
        <w:t xml:space="preserve"> </w:t>
      </w:r>
      <w:r w:rsidR="003252BA">
        <w:rPr>
          <w:rFonts w:asciiTheme="minorHAnsi" w:hAnsiTheme="minorHAnsi" w:cstheme="minorHAnsi"/>
          <w:sz w:val="22"/>
        </w:rPr>
        <w:t>Consider the following par yield curve for semiannual bonds, all quoted as BEY:</w:t>
      </w:r>
    </w:p>
    <w:p w14:paraId="217EBABA" w14:textId="77777777" w:rsidR="003252BA" w:rsidRDefault="003252BA" w:rsidP="003252BA">
      <w:pPr>
        <w:rPr>
          <w:rFonts w:asciiTheme="minorHAnsi" w:hAnsiTheme="minorHAnsi" w:cstheme="minorHAnsi"/>
          <w:sz w:val="22"/>
        </w:rPr>
      </w:pPr>
    </w:p>
    <w:tbl>
      <w:tblPr>
        <w:tblStyle w:val="TableGrid"/>
        <w:tblW w:w="0" w:type="auto"/>
        <w:tblInd w:w="2232" w:type="dxa"/>
        <w:tblLook w:val="04A0" w:firstRow="1" w:lastRow="0" w:firstColumn="1" w:lastColumn="0" w:noHBand="0" w:noVBand="1"/>
      </w:tblPr>
      <w:tblGrid>
        <w:gridCol w:w="1728"/>
        <w:gridCol w:w="1620"/>
      </w:tblGrid>
      <w:tr w:rsidR="003252BA" w:rsidRPr="003252BA" w14:paraId="24E834BF" w14:textId="77777777" w:rsidTr="003252BA">
        <w:tc>
          <w:tcPr>
            <w:tcW w:w="1728" w:type="dxa"/>
          </w:tcPr>
          <w:p w14:paraId="15CE3CBA" w14:textId="77777777" w:rsidR="003252BA" w:rsidRPr="003252BA" w:rsidRDefault="003252BA" w:rsidP="003252BA">
            <w:pPr>
              <w:jc w:val="center"/>
              <w:rPr>
                <w:rFonts w:asciiTheme="minorHAnsi" w:hAnsiTheme="minorHAnsi" w:cstheme="minorHAnsi"/>
                <w:b/>
                <w:sz w:val="22"/>
              </w:rPr>
            </w:pPr>
            <w:r w:rsidRPr="003252BA">
              <w:rPr>
                <w:rFonts w:asciiTheme="minorHAnsi" w:hAnsiTheme="minorHAnsi" w:cstheme="minorHAnsi"/>
                <w:b/>
                <w:sz w:val="22"/>
              </w:rPr>
              <w:t>Maturity</w:t>
            </w:r>
            <w:r>
              <w:rPr>
                <w:rFonts w:asciiTheme="minorHAnsi" w:hAnsiTheme="minorHAnsi" w:cstheme="minorHAnsi"/>
                <w:b/>
                <w:sz w:val="22"/>
              </w:rPr>
              <w:t xml:space="preserve"> [</w:t>
            </w:r>
            <w:proofErr w:type="spellStart"/>
            <w:r>
              <w:rPr>
                <w:rFonts w:asciiTheme="minorHAnsi" w:hAnsiTheme="minorHAnsi" w:cstheme="minorHAnsi"/>
                <w:b/>
                <w:sz w:val="22"/>
              </w:rPr>
              <w:t>yr</w:t>
            </w:r>
            <w:proofErr w:type="spellEnd"/>
            <w:r>
              <w:rPr>
                <w:rFonts w:asciiTheme="minorHAnsi" w:hAnsiTheme="minorHAnsi" w:cstheme="minorHAnsi"/>
                <w:b/>
                <w:sz w:val="22"/>
              </w:rPr>
              <w:t>]</w:t>
            </w:r>
          </w:p>
        </w:tc>
        <w:tc>
          <w:tcPr>
            <w:tcW w:w="1620" w:type="dxa"/>
          </w:tcPr>
          <w:p w14:paraId="23FC662B" w14:textId="77777777" w:rsidR="003252BA" w:rsidRPr="003252BA" w:rsidRDefault="003252BA" w:rsidP="003252BA">
            <w:pPr>
              <w:jc w:val="center"/>
              <w:rPr>
                <w:rFonts w:asciiTheme="minorHAnsi" w:hAnsiTheme="minorHAnsi" w:cstheme="minorHAnsi"/>
                <w:b/>
                <w:sz w:val="22"/>
              </w:rPr>
            </w:pPr>
            <w:r w:rsidRPr="003252BA">
              <w:rPr>
                <w:rFonts w:asciiTheme="minorHAnsi" w:hAnsiTheme="minorHAnsi" w:cstheme="minorHAnsi"/>
                <w:b/>
                <w:sz w:val="22"/>
              </w:rPr>
              <w:t>Par Yield</w:t>
            </w:r>
          </w:p>
        </w:tc>
      </w:tr>
      <w:tr w:rsidR="003252BA" w14:paraId="08CBA7A1" w14:textId="77777777" w:rsidTr="003252BA">
        <w:tc>
          <w:tcPr>
            <w:tcW w:w="1728" w:type="dxa"/>
          </w:tcPr>
          <w:p w14:paraId="7B3C54E8" w14:textId="77777777" w:rsidR="003252BA" w:rsidRDefault="003252BA" w:rsidP="007B6422">
            <w:pPr>
              <w:jc w:val="center"/>
              <w:rPr>
                <w:rFonts w:asciiTheme="minorHAnsi" w:hAnsiTheme="minorHAnsi" w:cstheme="minorHAnsi"/>
                <w:sz w:val="22"/>
              </w:rPr>
            </w:pPr>
            <w:r>
              <w:rPr>
                <w:rFonts w:asciiTheme="minorHAnsi" w:hAnsiTheme="minorHAnsi" w:cstheme="minorHAnsi"/>
                <w:sz w:val="22"/>
              </w:rPr>
              <w:t>0.5</w:t>
            </w:r>
          </w:p>
        </w:tc>
        <w:tc>
          <w:tcPr>
            <w:tcW w:w="1620" w:type="dxa"/>
          </w:tcPr>
          <w:p w14:paraId="54923A19" w14:textId="77777777" w:rsidR="003252BA" w:rsidRDefault="003252BA" w:rsidP="007B6422">
            <w:pPr>
              <w:jc w:val="center"/>
              <w:rPr>
                <w:rFonts w:asciiTheme="minorHAnsi" w:hAnsiTheme="minorHAnsi" w:cstheme="minorHAnsi"/>
                <w:sz w:val="22"/>
              </w:rPr>
            </w:pPr>
            <w:r>
              <w:rPr>
                <w:rFonts w:asciiTheme="minorHAnsi" w:hAnsiTheme="minorHAnsi" w:cstheme="minorHAnsi"/>
                <w:sz w:val="22"/>
              </w:rPr>
              <w:t>1%</w:t>
            </w:r>
          </w:p>
        </w:tc>
      </w:tr>
      <w:tr w:rsidR="003252BA" w14:paraId="7F162949" w14:textId="77777777" w:rsidTr="003252BA">
        <w:tc>
          <w:tcPr>
            <w:tcW w:w="1728" w:type="dxa"/>
          </w:tcPr>
          <w:p w14:paraId="07EA771A" w14:textId="77777777" w:rsidR="003252BA" w:rsidRDefault="003252BA" w:rsidP="007B6422">
            <w:pPr>
              <w:jc w:val="center"/>
              <w:rPr>
                <w:rFonts w:asciiTheme="minorHAnsi" w:hAnsiTheme="minorHAnsi" w:cstheme="minorHAnsi"/>
                <w:sz w:val="22"/>
              </w:rPr>
            </w:pPr>
            <w:r>
              <w:rPr>
                <w:rFonts w:asciiTheme="minorHAnsi" w:hAnsiTheme="minorHAnsi" w:cstheme="minorHAnsi"/>
                <w:sz w:val="22"/>
              </w:rPr>
              <w:t>1</w:t>
            </w:r>
          </w:p>
        </w:tc>
        <w:tc>
          <w:tcPr>
            <w:tcW w:w="1620" w:type="dxa"/>
          </w:tcPr>
          <w:p w14:paraId="48E7C8FB" w14:textId="77777777" w:rsidR="003252BA" w:rsidRDefault="003252BA" w:rsidP="007B6422">
            <w:pPr>
              <w:jc w:val="center"/>
              <w:rPr>
                <w:rFonts w:asciiTheme="minorHAnsi" w:hAnsiTheme="minorHAnsi" w:cstheme="minorHAnsi"/>
                <w:sz w:val="22"/>
              </w:rPr>
            </w:pPr>
            <w:r>
              <w:rPr>
                <w:rFonts w:asciiTheme="minorHAnsi" w:hAnsiTheme="minorHAnsi" w:cstheme="minorHAnsi"/>
                <w:sz w:val="22"/>
              </w:rPr>
              <w:t>2%</w:t>
            </w:r>
          </w:p>
        </w:tc>
      </w:tr>
      <w:tr w:rsidR="003252BA" w14:paraId="37A4525E" w14:textId="77777777" w:rsidTr="003252BA">
        <w:tc>
          <w:tcPr>
            <w:tcW w:w="1728" w:type="dxa"/>
          </w:tcPr>
          <w:p w14:paraId="103AC923" w14:textId="77777777" w:rsidR="003252BA" w:rsidRDefault="003252BA" w:rsidP="007B6422">
            <w:pPr>
              <w:jc w:val="center"/>
              <w:rPr>
                <w:rFonts w:asciiTheme="minorHAnsi" w:hAnsiTheme="minorHAnsi" w:cstheme="minorHAnsi"/>
                <w:sz w:val="22"/>
              </w:rPr>
            </w:pPr>
            <w:r>
              <w:rPr>
                <w:rFonts w:asciiTheme="minorHAnsi" w:hAnsiTheme="minorHAnsi" w:cstheme="minorHAnsi"/>
                <w:sz w:val="22"/>
              </w:rPr>
              <w:t>1.5</w:t>
            </w:r>
          </w:p>
        </w:tc>
        <w:tc>
          <w:tcPr>
            <w:tcW w:w="1620" w:type="dxa"/>
          </w:tcPr>
          <w:p w14:paraId="3A4301AE" w14:textId="77777777" w:rsidR="003252BA" w:rsidRDefault="003252BA" w:rsidP="007B6422">
            <w:pPr>
              <w:jc w:val="center"/>
              <w:rPr>
                <w:rFonts w:asciiTheme="minorHAnsi" w:hAnsiTheme="minorHAnsi" w:cstheme="minorHAnsi"/>
                <w:sz w:val="22"/>
              </w:rPr>
            </w:pPr>
            <w:r>
              <w:rPr>
                <w:rFonts w:asciiTheme="minorHAnsi" w:hAnsiTheme="minorHAnsi" w:cstheme="minorHAnsi"/>
                <w:sz w:val="22"/>
              </w:rPr>
              <w:t>3%</w:t>
            </w:r>
          </w:p>
        </w:tc>
      </w:tr>
    </w:tbl>
    <w:p w14:paraId="35F8B80A" w14:textId="77777777" w:rsidR="003252BA" w:rsidRDefault="003252BA" w:rsidP="003252BA">
      <w:pPr>
        <w:rPr>
          <w:rFonts w:asciiTheme="minorHAnsi" w:hAnsiTheme="minorHAnsi" w:cstheme="minorHAnsi"/>
          <w:sz w:val="22"/>
        </w:rPr>
      </w:pPr>
      <w:r>
        <w:rPr>
          <w:rFonts w:asciiTheme="minorHAnsi" w:hAnsiTheme="minorHAnsi" w:cstheme="minorHAnsi"/>
          <w:sz w:val="22"/>
        </w:rPr>
        <w:tab/>
      </w:r>
    </w:p>
    <w:p w14:paraId="21B933F2" w14:textId="77777777" w:rsidR="003252BA" w:rsidRDefault="007D293C" w:rsidP="003252BA">
      <w:pPr>
        <w:pStyle w:val="ListParagraph"/>
        <w:numPr>
          <w:ilvl w:val="1"/>
          <w:numId w:val="10"/>
        </w:numPr>
        <w:rPr>
          <w:rFonts w:asciiTheme="minorHAnsi" w:hAnsiTheme="minorHAnsi" w:cstheme="minorHAnsi"/>
          <w:sz w:val="22"/>
        </w:rPr>
      </w:pPr>
      <w:r>
        <w:rPr>
          <w:rFonts w:asciiTheme="minorHAnsi" w:hAnsiTheme="minorHAnsi" w:cstheme="minorHAnsi"/>
          <w:sz w:val="22"/>
        </w:rPr>
        <w:t xml:space="preserve">[6pts] </w:t>
      </w:r>
      <w:r w:rsidR="003252BA" w:rsidRPr="003252BA">
        <w:rPr>
          <w:rFonts w:asciiTheme="minorHAnsi" w:hAnsiTheme="minorHAnsi" w:cstheme="minorHAnsi"/>
          <w:sz w:val="22"/>
        </w:rPr>
        <w:t xml:space="preserve">What </w:t>
      </w:r>
      <w:proofErr w:type="gramStart"/>
      <w:r w:rsidR="003252BA" w:rsidRPr="003252BA">
        <w:rPr>
          <w:rFonts w:asciiTheme="minorHAnsi" w:hAnsiTheme="minorHAnsi" w:cstheme="minorHAnsi"/>
          <w:sz w:val="22"/>
        </w:rPr>
        <w:t>are</w:t>
      </w:r>
      <w:proofErr w:type="gramEnd"/>
      <w:r w:rsidR="003252BA" w:rsidRPr="003252BA">
        <w:rPr>
          <w:rFonts w:asciiTheme="minorHAnsi" w:hAnsiTheme="minorHAnsi" w:cstheme="minorHAnsi"/>
          <w:sz w:val="22"/>
        </w:rPr>
        <w:t xml:space="preserve"> the corresponding zero rates?</w:t>
      </w:r>
    </w:p>
    <w:p w14:paraId="590A9C5C" w14:textId="77777777" w:rsidR="003252BA" w:rsidRDefault="007D293C" w:rsidP="003252BA">
      <w:pPr>
        <w:pStyle w:val="ListParagraph"/>
        <w:numPr>
          <w:ilvl w:val="1"/>
          <w:numId w:val="10"/>
        </w:numPr>
        <w:rPr>
          <w:rFonts w:asciiTheme="minorHAnsi" w:hAnsiTheme="minorHAnsi" w:cstheme="minorHAnsi"/>
          <w:sz w:val="22"/>
        </w:rPr>
      </w:pPr>
      <w:r>
        <w:rPr>
          <w:rFonts w:asciiTheme="minorHAnsi" w:hAnsiTheme="minorHAnsi" w:cstheme="minorHAnsi"/>
          <w:sz w:val="22"/>
        </w:rPr>
        <w:t xml:space="preserve">[2pts] </w:t>
      </w:r>
      <w:r w:rsidR="003252BA">
        <w:rPr>
          <w:rFonts w:asciiTheme="minorHAnsi" w:hAnsiTheme="minorHAnsi" w:cstheme="minorHAnsi"/>
          <w:sz w:val="22"/>
        </w:rPr>
        <w:t xml:space="preserve">What is today’s lockable rate for a </w:t>
      </w:r>
      <w:proofErr w:type="gramStart"/>
      <w:r w:rsidR="003252BA">
        <w:rPr>
          <w:rFonts w:asciiTheme="minorHAnsi" w:hAnsiTheme="minorHAnsi" w:cstheme="minorHAnsi"/>
          <w:sz w:val="22"/>
        </w:rPr>
        <w:t>6 month</w:t>
      </w:r>
      <w:proofErr w:type="gramEnd"/>
      <w:r w:rsidR="003252BA">
        <w:rPr>
          <w:rFonts w:asciiTheme="minorHAnsi" w:hAnsiTheme="minorHAnsi" w:cstheme="minorHAnsi"/>
          <w:sz w:val="22"/>
        </w:rPr>
        <w:t xml:space="preserve"> loan 1 year from now?</w:t>
      </w:r>
    </w:p>
    <w:p w14:paraId="071D6046" w14:textId="77777777" w:rsidR="006A5908" w:rsidRDefault="006A5908" w:rsidP="006A5908">
      <w:pPr>
        <w:rPr>
          <w:rFonts w:asciiTheme="minorHAnsi" w:hAnsiTheme="minorHAnsi" w:cstheme="minorHAnsi"/>
          <w:sz w:val="22"/>
        </w:rPr>
      </w:pPr>
    </w:p>
    <w:p w14:paraId="0D0311A8" w14:textId="77777777" w:rsidR="006A5908" w:rsidRDefault="006A5908" w:rsidP="006A5908">
      <w:pPr>
        <w:rPr>
          <w:rFonts w:asciiTheme="minorHAnsi" w:hAnsiTheme="minorHAnsi" w:cstheme="minorHAnsi"/>
          <w:sz w:val="22"/>
        </w:rPr>
      </w:pPr>
    </w:p>
    <w:p w14:paraId="49C924A9" w14:textId="77777777" w:rsidR="007B6422" w:rsidRDefault="00BA0E16" w:rsidP="006A5908">
      <w:pPr>
        <w:pStyle w:val="ListParagraph"/>
        <w:numPr>
          <w:ilvl w:val="0"/>
          <w:numId w:val="15"/>
        </w:numPr>
        <w:rPr>
          <w:rFonts w:asciiTheme="minorHAnsi" w:hAnsiTheme="minorHAnsi" w:cstheme="minorHAnsi"/>
          <w:sz w:val="22"/>
        </w:rPr>
      </w:pPr>
      <w:r w:rsidRPr="007A0205">
        <w:rPr>
          <w:rFonts w:asciiTheme="minorHAnsi" w:hAnsiTheme="minorHAnsi" w:cstheme="minorHAnsi"/>
          <w:b/>
          <w:sz w:val="22"/>
        </w:rPr>
        <w:t>[10pts]</w:t>
      </w:r>
      <w:r>
        <w:rPr>
          <w:rFonts w:asciiTheme="minorHAnsi" w:hAnsiTheme="minorHAnsi" w:cstheme="minorHAnsi"/>
          <w:sz w:val="22"/>
        </w:rPr>
        <w:t xml:space="preserve"> </w:t>
      </w:r>
      <w:r w:rsidR="007B6422">
        <w:rPr>
          <w:rFonts w:asciiTheme="minorHAnsi" w:hAnsiTheme="minorHAnsi" w:cstheme="minorHAnsi"/>
          <w:sz w:val="22"/>
        </w:rPr>
        <w:t>Stratify the following Agency mortgages at a deal coupon of 4%. What are the initial pool and PO principals, and what are the</w:t>
      </w:r>
      <w:r w:rsidR="00046C96">
        <w:rPr>
          <w:rFonts w:asciiTheme="minorHAnsi" w:hAnsiTheme="minorHAnsi" w:cstheme="minorHAnsi"/>
          <w:sz w:val="22"/>
        </w:rPr>
        <w:t xml:space="preserve"> initial</w:t>
      </w:r>
      <w:r w:rsidR="007B6422">
        <w:rPr>
          <w:rFonts w:asciiTheme="minorHAnsi" w:hAnsiTheme="minorHAnsi" w:cstheme="minorHAnsi"/>
          <w:sz w:val="22"/>
        </w:rPr>
        <w:t xml:space="preserve"> notional principal and coupon of the IO?</w:t>
      </w:r>
    </w:p>
    <w:p w14:paraId="44903DF0" w14:textId="77777777" w:rsidR="007B6422" w:rsidRDefault="007B6422" w:rsidP="007B6422">
      <w:pPr>
        <w:rPr>
          <w:rFonts w:asciiTheme="minorHAnsi" w:hAnsiTheme="minorHAnsi" w:cstheme="minorHAnsi"/>
          <w:sz w:val="22"/>
        </w:rPr>
      </w:pPr>
    </w:p>
    <w:tbl>
      <w:tblPr>
        <w:tblStyle w:val="TableGrid"/>
        <w:tblW w:w="0" w:type="auto"/>
        <w:jc w:val="center"/>
        <w:tblLook w:val="04A0" w:firstRow="1" w:lastRow="0" w:firstColumn="1" w:lastColumn="0" w:noHBand="0" w:noVBand="1"/>
      </w:tblPr>
      <w:tblGrid>
        <w:gridCol w:w="1188"/>
        <w:gridCol w:w="1080"/>
        <w:gridCol w:w="2151"/>
      </w:tblGrid>
      <w:tr w:rsidR="007B6422" w:rsidRPr="00536DEF" w14:paraId="66369051" w14:textId="77777777" w:rsidTr="007B6422">
        <w:trPr>
          <w:jc w:val="center"/>
        </w:trPr>
        <w:tc>
          <w:tcPr>
            <w:tcW w:w="1188" w:type="dxa"/>
          </w:tcPr>
          <w:p w14:paraId="6CA4F228" w14:textId="77777777" w:rsidR="007B6422" w:rsidRPr="00536DEF" w:rsidRDefault="007B6422" w:rsidP="00536DEF">
            <w:pPr>
              <w:jc w:val="center"/>
              <w:rPr>
                <w:rFonts w:asciiTheme="minorHAnsi" w:hAnsiTheme="minorHAnsi" w:cstheme="minorHAnsi"/>
                <w:b/>
                <w:sz w:val="22"/>
              </w:rPr>
            </w:pPr>
            <w:r w:rsidRPr="00536DEF">
              <w:rPr>
                <w:rFonts w:asciiTheme="minorHAnsi" w:hAnsiTheme="minorHAnsi" w:cstheme="minorHAnsi"/>
                <w:b/>
                <w:sz w:val="22"/>
              </w:rPr>
              <w:t>Gross</w:t>
            </w:r>
          </w:p>
        </w:tc>
        <w:tc>
          <w:tcPr>
            <w:tcW w:w="1080" w:type="dxa"/>
          </w:tcPr>
          <w:p w14:paraId="0EEADDCC" w14:textId="77777777" w:rsidR="007B6422" w:rsidRPr="00536DEF" w:rsidRDefault="007B6422" w:rsidP="00536DEF">
            <w:pPr>
              <w:jc w:val="center"/>
              <w:rPr>
                <w:rFonts w:asciiTheme="minorHAnsi" w:hAnsiTheme="minorHAnsi" w:cstheme="minorHAnsi"/>
                <w:b/>
                <w:sz w:val="22"/>
              </w:rPr>
            </w:pPr>
            <w:r w:rsidRPr="00536DEF">
              <w:rPr>
                <w:rFonts w:asciiTheme="minorHAnsi" w:hAnsiTheme="minorHAnsi" w:cstheme="minorHAnsi"/>
                <w:b/>
                <w:sz w:val="22"/>
              </w:rPr>
              <w:t>Net</w:t>
            </w:r>
          </w:p>
        </w:tc>
        <w:tc>
          <w:tcPr>
            <w:tcW w:w="2151" w:type="dxa"/>
          </w:tcPr>
          <w:p w14:paraId="634B98EC" w14:textId="77777777" w:rsidR="007B6422" w:rsidRPr="00536DEF" w:rsidRDefault="007B6422" w:rsidP="00536DEF">
            <w:pPr>
              <w:jc w:val="center"/>
              <w:rPr>
                <w:rFonts w:asciiTheme="minorHAnsi" w:hAnsiTheme="minorHAnsi" w:cstheme="minorHAnsi"/>
                <w:b/>
                <w:sz w:val="22"/>
              </w:rPr>
            </w:pPr>
            <w:r w:rsidRPr="00536DEF">
              <w:rPr>
                <w:rFonts w:asciiTheme="minorHAnsi" w:hAnsiTheme="minorHAnsi" w:cstheme="minorHAnsi"/>
                <w:b/>
                <w:sz w:val="22"/>
              </w:rPr>
              <w:t>Balance (</w:t>
            </w:r>
            <w:proofErr w:type="spellStart"/>
            <w:r w:rsidRPr="00536DEF">
              <w:rPr>
                <w:rFonts w:asciiTheme="minorHAnsi" w:hAnsiTheme="minorHAnsi" w:cstheme="minorHAnsi"/>
                <w:b/>
                <w:sz w:val="22"/>
              </w:rPr>
              <w:t>mln</w:t>
            </w:r>
            <w:proofErr w:type="spellEnd"/>
            <w:r w:rsidR="00536DEF">
              <w:rPr>
                <w:rFonts w:asciiTheme="minorHAnsi" w:hAnsiTheme="minorHAnsi" w:cstheme="minorHAnsi"/>
                <w:b/>
                <w:sz w:val="22"/>
              </w:rPr>
              <w:t xml:space="preserve"> </w:t>
            </w:r>
            <w:r w:rsidRPr="00536DEF">
              <w:rPr>
                <w:rFonts w:asciiTheme="minorHAnsi" w:hAnsiTheme="minorHAnsi" w:cstheme="minorHAnsi"/>
                <w:b/>
                <w:sz w:val="22"/>
              </w:rPr>
              <w:t>$)</w:t>
            </w:r>
          </w:p>
        </w:tc>
      </w:tr>
      <w:tr w:rsidR="007B6422" w14:paraId="4E192EF6" w14:textId="77777777" w:rsidTr="007B6422">
        <w:trPr>
          <w:jc w:val="center"/>
        </w:trPr>
        <w:tc>
          <w:tcPr>
            <w:tcW w:w="1188" w:type="dxa"/>
          </w:tcPr>
          <w:p w14:paraId="564B538F" w14:textId="77777777" w:rsidR="007B6422" w:rsidRDefault="00536DEF" w:rsidP="00536DEF">
            <w:pPr>
              <w:jc w:val="center"/>
              <w:rPr>
                <w:rFonts w:asciiTheme="minorHAnsi" w:hAnsiTheme="minorHAnsi" w:cstheme="minorHAnsi"/>
                <w:sz w:val="22"/>
              </w:rPr>
            </w:pPr>
            <w:r>
              <w:rPr>
                <w:rFonts w:asciiTheme="minorHAnsi" w:hAnsiTheme="minorHAnsi" w:cstheme="minorHAnsi"/>
                <w:sz w:val="22"/>
              </w:rPr>
              <w:lastRenderedPageBreak/>
              <w:t>4.1</w:t>
            </w:r>
            <w:r w:rsidR="00D143D5">
              <w:rPr>
                <w:rFonts w:asciiTheme="minorHAnsi" w:hAnsiTheme="minorHAnsi" w:cstheme="minorHAnsi"/>
                <w:sz w:val="22"/>
              </w:rPr>
              <w:t>0</w:t>
            </w:r>
            <w:r w:rsidR="007B6422">
              <w:rPr>
                <w:rFonts w:asciiTheme="minorHAnsi" w:hAnsiTheme="minorHAnsi" w:cstheme="minorHAnsi"/>
                <w:sz w:val="22"/>
              </w:rPr>
              <w:t>%</w:t>
            </w:r>
          </w:p>
        </w:tc>
        <w:tc>
          <w:tcPr>
            <w:tcW w:w="1080" w:type="dxa"/>
          </w:tcPr>
          <w:p w14:paraId="22D17084" w14:textId="77777777" w:rsidR="007B6422" w:rsidRDefault="00473766" w:rsidP="00536DEF">
            <w:pPr>
              <w:jc w:val="center"/>
              <w:rPr>
                <w:rFonts w:asciiTheme="minorHAnsi" w:hAnsiTheme="minorHAnsi" w:cstheme="minorHAnsi"/>
                <w:sz w:val="22"/>
              </w:rPr>
            </w:pPr>
            <w:r>
              <w:rPr>
                <w:rFonts w:asciiTheme="minorHAnsi" w:hAnsiTheme="minorHAnsi" w:cstheme="minorHAnsi"/>
                <w:sz w:val="22"/>
              </w:rPr>
              <w:t>3.852</w:t>
            </w:r>
            <w:r w:rsidR="007B6422">
              <w:rPr>
                <w:rFonts w:asciiTheme="minorHAnsi" w:hAnsiTheme="minorHAnsi" w:cstheme="minorHAnsi"/>
                <w:sz w:val="22"/>
              </w:rPr>
              <w:t>%</w:t>
            </w:r>
          </w:p>
        </w:tc>
        <w:tc>
          <w:tcPr>
            <w:tcW w:w="2151" w:type="dxa"/>
          </w:tcPr>
          <w:p w14:paraId="57D62A14" w14:textId="77777777" w:rsidR="007B6422" w:rsidRDefault="00536DEF" w:rsidP="00536DEF">
            <w:pPr>
              <w:jc w:val="center"/>
              <w:rPr>
                <w:rFonts w:asciiTheme="minorHAnsi" w:hAnsiTheme="minorHAnsi" w:cstheme="minorHAnsi"/>
                <w:sz w:val="22"/>
              </w:rPr>
            </w:pPr>
            <w:r>
              <w:rPr>
                <w:rFonts w:asciiTheme="minorHAnsi" w:hAnsiTheme="minorHAnsi" w:cstheme="minorHAnsi"/>
                <w:sz w:val="22"/>
              </w:rPr>
              <w:t>50.343</w:t>
            </w:r>
          </w:p>
        </w:tc>
      </w:tr>
      <w:tr w:rsidR="007B6422" w14:paraId="521A3D86" w14:textId="77777777" w:rsidTr="007B6422">
        <w:trPr>
          <w:jc w:val="center"/>
        </w:trPr>
        <w:tc>
          <w:tcPr>
            <w:tcW w:w="1188" w:type="dxa"/>
          </w:tcPr>
          <w:p w14:paraId="372B6A36" w14:textId="77777777" w:rsidR="007B6422" w:rsidRDefault="00536DEF" w:rsidP="00536DEF">
            <w:pPr>
              <w:jc w:val="center"/>
              <w:rPr>
                <w:rFonts w:asciiTheme="minorHAnsi" w:hAnsiTheme="minorHAnsi" w:cstheme="minorHAnsi"/>
                <w:sz w:val="22"/>
              </w:rPr>
            </w:pPr>
            <w:r>
              <w:rPr>
                <w:rFonts w:asciiTheme="minorHAnsi" w:hAnsiTheme="minorHAnsi" w:cstheme="minorHAnsi"/>
                <w:sz w:val="22"/>
              </w:rPr>
              <w:t>4.2</w:t>
            </w:r>
            <w:r w:rsidR="00D143D5">
              <w:rPr>
                <w:rFonts w:asciiTheme="minorHAnsi" w:hAnsiTheme="minorHAnsi" w:cstheme="minorHAnsi"/>
                <w:sz w:val="22"/>
              </w:rPr>
              <w:t>0</w:t>
            </w:r>
            <w:r w:rsidR="007B6422">
              <w:rPr>
                <w:rFonts w:asciiTheme="minorHAnsi" w:hAnsiTheme="minorHAnsi" w:cstheme="minorHAnsi"/>
                <w:sz w:val="22"/>
              </w:rPr>
              <w:t>%</w:t>
            </w:r>
          </w:p>
        </w:tc>
        <w:tc>
          <w:tcPr>
            <w:tcW w:w="1080" w:type="dxa"/>
          </w:tcPr>
          <w:p w14:paraId="1796611A" w14:textId="77777777" w:rsidR="007B6422" w:rsidRDefault="007B6422" w:rsidP="00536DEF">
            <w:pPr>
              <w:jc w:val="center"/>
              <w:rPr>
                <w:rFonts w:asciiTheme="minorHAnsi" w:hAnsiTheme="minorHAnsi" w:cstheme="minorHAnsi"/>
                <w:sz w:val="22"/>
              </w:rPr>
            </w:pPr>
            <w:r>
              <w:rPr>
                <w:rFonts w:asciiTheme="minorHAnsi" w:hAnsiTheme="minorHAnsi" w:cstheme="minorHAnsi"/>
                <w:sz w:val="22"/>
              </w:rPr>
              <w:t>3.9</w:t>
            </w:r>
            <w:r w:rsidR="00473766">
              <w:rPr>
                <w:rFonts w:asciiTheme="minorHAnsi" w:hAnsiTheme="minorHAnsi" w:cstheme="minorHAnsi"/>
                <w:sz w:val="22"/>
              </w:rPr>
              <w:t>3</w:t>
            </w:r>
            <w:r>
              <w:rPr>
                <w:rFonts w:asciiTheme="minorHAnsi" w:hAnsiTheme="minorHAnsi" w:cstheme="minorHAnsi"/>
                <w:sz w:val="22"/>
              </w:rPr>
              <w:t>4%</w:t>
            </w:r>
          </w:p>
        </w:tc>
        <w:tc>
          <w:tcPr>
            <w:tcW w:w="2151" w:type="dxa"/>
          </w:tcPr>
          <w:p w14:paraId="7F17E0DB" w14:textId="77777777" w:rsidR="007B6422" w:rsidRDefault="00536DEF" w:rsidP="00536DEF">
            <w:pPr>
              <w:jc w:val="center"/>
              <w:rPr>
                <w:rFonts w:asciiTheme="minorHAnsi" w:hAnsiTheme="minorHAnsi" w:cstheme="minorHAnsi"/>
                <w:sz w:val="22"/>
              </w:rPr>
            </w:pPr>
            <w:r>
              <w:rPr>
                <w:rFonts w:asciiTheme="minorHAnsi" w:hAnsiTheme="minorHAnsi" w:cstheme="minorHAnsi"/>
                <w:sz w:val="22"/>
              </w:rPr>
              <w:t>101.435</w:t>
            </w:r>
          </w:p>
        </w:tc>
      </w:tr>
      <w:tr w:rsidR="007B6422" w14:paraId="244078D5" w14:textId="77777777" w:rsidTr="007B6422">
        <w:trPr>
          <w:jc w:val="center"/>
        </w:trPr>
        <w:tc>
          <w:tcPr>
            <w:tcW w:w="1188" w:type="dxa"/>
          </w:tcPr>
          <w:p w14:paraId="53B72335" w14:textId="77777777" w:rsidR="007B6422" w:rsidRDefault="00536DEF" w:rsidP="00536DEF">
            <w:pPr>
              <w:jc w:val="center"/>
              <w:rPr>
                <w:rFonts w:asciiTheme="minorHAnsi" w:hAnsiTheme="minorHAnsi" w:cstheme="minorHAnsi"/>
                <w:sz w:val="22"/>
              </w:rPr>
            </w:pPr>
            <w:r>
              <w:rPr>
                <w:rFonts w:asciiTheme="minorHAnsi" w:hAnsiTheme="minorHAnsi" w:cstheme="minorHAnsi"/>
                <w:sz w:val="22"/>
              </w:rPr>
              <w:t>4.3</w:t>
            </w:r>
            <w:r w:rsidR="00D143D5">
              <w:rPr>
                <w:rFonts w:asciiTheme="minorHAnsi" w:hAnsiTheme="minorHAnsi" w:cstheme="minorHAnsi"/>
                <w:sz w:val="22"/>
              </w:rPr>
              <w:t>0</w:t>
            </w:r>
            <w:r w:rsidR="007B6422">
              <w:rPr>
                <w:rFonts w:asciiTheme="minorHAnsi" w:hAnsiTheme="minorHAnsi" w:cstheme="minorHAnsi"/>
                <w:sz w:val="22"/>
              </w:rPr>
              <w:t>%</w:t>
            </w:r>
          </w:p>
        </w:tc>
        <w:tc>
          <w:tcPr>
            <w:tcW w:w="1080" w:type="dxa"/>
          </w:tcPr>
          <w:p w14:paraId="33CE86D1" w14:textId="77777777" w:rsidR="007B6422" w:rsidRDefault="00D143D5" w:rsidP="00536DEF">
            <w:pPr>
              <w:jc w:val="center"/>
              <w:rPr>
                <w:rFonts w:asciiTheme="minorHAnsi" w:hAnsiTheme="minorHAnsi" w:cstheme="minorHAnsi"/>
                <w:sz w:val="22"/>
              </w:rPr>
            </w:pPr>
            <w:r>
              <w:rPr>
                <w:rFonts w:asciiTheme="minorHAnsi" w:hAnsiTheme="minorHAnsi" w:cstheme="minorHAnsi"/>
                <w:sz w:val="22"/>
              </w:rPr>
              <w:t>4.07</w:t>
            </w:r>
            <w:r w:rsidR="007B6422">
              <w:rPr>
                <w:rFonts w:asciiTheme="minorHAnsi" w:hAnsiTheme="minorHAnsi" w:cstheme="minorHAnsi"/>
                <w:sz w:val="22"/>
              </w:rPr>
              <w:t>1%</w:t>
            </w:r>
          </w:p>
        </w:tc>
        <w:tc>
          <w:tcPr>
            <w:tcW w:w="2151" w:type="dxa"/>
          </w:tcPr>
          <w:p w14:paraId="1516BC3F" w14:textId="77777777" w:rsidR="007B6422" w:rsidRDefault="00536DEF" w:rsidP="00536DEF">
            <w:pPr>
              <w:jc w:val="center"/>
              <w:rPr>
                <w:rFonts w:asciiTheme="minorHAnsi" w:hAnsiTheme="minorHAnsi" w:cstheme="minorHAnsi"/>
                <w:sz w:val="22"/>
              </w:rPr>
            </w:pPr>
            <w:r>
              <w:rPr>
                <w:rFonts w:asciiTheme="minorHAnsi" w:hAnsiTheme="minorHAnsi" w:cstheme="minorHAnsi"/>
                <w:sz w:val="22"/>
              </w:rPr>
              <w:t>123.777</w:t>
            </w:r>
          </w:p>
        </w:tc>
      </w:tr>
      <w:tr w:rsidR="007B6422" w14:paraId="05448653" w14:textId="77777777" w:rsidTr="007B6422">
        <w:trPr>
          <w:jc w:val="center"/>
        </w:trPr>
        <w:tc>
          <w:tcPr>
            <w:tcW w:w="1188" w:type="dxa"/>
          </w:tcPr>
          <w:p w14:paraId="586842D8" w14:textId="77777777" w:rsidR="007B6422" w:rsidRDefault="00536DEF" w:rsidP="00536DEF">
            <w:pPr>
              <w:jc w:val="center"/>
              <w:rPr>
                <w:rFonts w:asciiTheme="minorHAnsi" w:hAnsiTheme="minorHAnsi" w:cstheme="minorHAnsi"/>
                <w:sz w:val="22"/>
              </w:rPr>
            </w:pPr>
            <w:r>
              <w:rPr>
                <w:rFonts w:asciiTheme="minorHAnsi" w:hAnsiTheme="minorHAnsi" w:cstheme="minorHAnsi"/>
                <w:sz w:val="22"/>
              </w:rPr>
              <w:t>4.4</w:t>
            </w:r>
            <w:r w:rsidR="00D143D5">
              <w:rPr>
                <w:rFonts w:asciiTheme="minorHAnsi" w:hAnsiTheme="minorHAnsi" w:cstheme="minorHAnsi"/>
                <w:sz w:val="22"/>
              </w:rPr>
              <w:t>0</w:t>
            </w:r>
            <w:r w:rsidR="007B6422">
              <w:rPr>
                <w:rFonts w:asciiTheme="minorHAnsi" w:hAnsiTheme="minorHAnsi" w:cstheme="minorHAnsi"/>
                <w:sz w:val="22"/>
              </w:rPr>
              <w:t>%</w:t>
            </w:r>
          </w:p>
        </w:tc>
        <w:tc>
          <w:tcPr>
            <w:tcW w:w="1080" w:type="dxa"/>
          </w:tcPr>
          <w:p w14:paraId="32D92C8A" w14:textId="77777777" w:rsidR="007B6422" w:rsidRDefault="00473766" w:rsidP="00536DEF">
            <w:pPr>
              <w:jc w:val="center"/>
              <w:rPr>
                <w:rFonts w:asciiTheme="minorHAnsi" w:hAnsiTheme="minorHAnsi" w:cstheme="minorHAnsi"/>
                <w:sz w:val="22"/>
              </w:rPr>
            </w:pPr>
            <w:r>
              <w:rPr>
                <w:rFonts w:asciiTheme="minorHAnsi" w:hAnsiTheme="minorHAnsi" w:cstheme="minorHAnsi"/>
                <w:sz w:val="22"/>
              </w:rPr>
              <w:t>4.15</w:t>
            </w:r>
            <w:r w:rsidR="007B6422">
              <w:rPr>
                <w:rFonts w:asciiTheme="minorHAnsi" w:hAnsiTheme="minorHAnsi" w:cstheme="minorHAnsi"/>
                <w:sz w:val="22"/>
              </w:rPr>
              <w:t>3%</w:t>
            </w:r>
          </w:p>
        </w:tc>
        <w:tc>
          <w:tcPr>
            <w:tcW w:w="2151" w:type="dxa"/>
          </w:tcPr>
          <w:p w14:paraId="508E7C54" w14:textId="77777777" w:rsidR="007B6422" w:rsidRDefault="00536DEF" w:rsidP="00536DEF">
            <w:pPr>
              <w:jc w:val="center"/>
              <w:rPr>
                <w:rFonts w:asciiTheme="minorHAnsi" w:hAnsiTheme="minorHAnsi" w:cstheme="minorHAnsi"/>
                <w:sz w:val="22"/>
              </w:rPr>
            </w:pPr>
            <w:r>
              <w:rPr>
                <w:rFonts w:asciiTheme="minorHAnsi" w:hAnsiTheme="minorHAnsi" w:cstheme="minorHAnsi"/>
                <w:sz w:val="22"/>
              </w:rPr>
              <w:t>40.123</w:t>
            </w:r>
          </w:p>
        </w:tc>
      </w:tr>
    </w:tbl>
    <w:p w14:paraId="30E1CF88" w14:textId="77777777" w:rsidR="006A5908" w:rsidRDefault="007B6422" w:rsidP="007B6422">
      <w:pPr>
        <w:rPr>
          <w:rFonts w:asciiTheme="minorHAnsi" w:hAnsiTheme="minorHAnsi" w:cstheme="minorHAnsi"/>
          <w:sz w:val="22"/>
        </w:rPr>
      </w:pPr>
      <w:r w:rsidRPr="007B6422">
        <w:rPr>
          <w:rFonts w:asciiTheme="minorHAnsi" w:hAnsiTheme="minorHAnsi" w:cstheme="minorHAnsi"/>
          <w:sz w:val="22"/>
        </w:rPr>
        <w:t xml:space="preserve"> </w:t>
      </w:r>
    </w:p>
    <w:p w14:paraId="61E362C8" w14:textId="77777777" w:rsidR="007B6422" w:rsidRDefault="00065741" w:rsidP="007B6422">
      <w:pPr>
        <w:rPr>
          <w:rFonts w:asciiTheme="minorHAnsi" w:hAnsiTheme="minorHAnsi" w:cstheme="minorHAnsi"/>
          <w:sz w:val="22"/>
        </w:rPr>
      </w:pPr>
      <w:r>
        <w:rPr>
          <w:rFonts w:asciiTheme="minorHAnsi" w:hAnsiTheme="minorHAnsi" w:cstheme="minorHAnsi"/>
          <w:sz w:val="22"/>
        </w:rPr>
        <w:t>_____________________________________________________________________________</w:t>
      </w:r>
    </w:p>
    <w:p w14:paraId="6B516C58" w14:textId="77777777" w:rsidR="007B6422" w:rsidRDefault="007B6422" w:rsidP="007B6422">
      <w:pPr>
        <w:rPr>
          <w:rFonts w:asciiTheme="minorHAnsi" w:hAnsiTheme="minorHAnsi" w:cstheme="minorHAnsi"/>
          <w:sz w:val="22"/>
        </w:rPr>
      </w:pPr>
    </w:p>
    <w:p w14:paraId="2DB65612" w14:textId="77777777" w:rsidR="007A0205" w:rsidRPr="007A0205" w:rsidRDefault="007A0205" w:rsidP="007A0205">
      <w:pPr>
        <w:rPr>
          <w:rFonts w:asciiTheme="minorHAnsi" w:hAnsiTheme="minorHAnsi" w:cstheme="minorHAnsi"/>
          <w:b/>
          <w:sz w:val="22"/>
        </w:rPr>
      </w:pPr>
      <w:r w:rsidRPr="007A0205">
        <w:rPr>
          <w:rFonts w:asciiTheme="minorHAnsi" w:hAnsiTheme="minorHAnsi" w:cstheme="minorHAnsi"/>
          <w:b/>
          <w:sz w:val="22"/>
        </w:rPr>
        <w:t>Notes</w:t>
      </w:r>
      <w:r>
        <w:rPr>
          <w:rFonts w:asciiTheme="minorHAnsi" w:hAnsiTheme="minorHAnsi" w:cstheme="minorHAnsi"/>
          <w:b/>
          <w:sz w:val="22"/>
        </w:rPr>
        <w:t xml:space="preserve"> for</w:t>
      </w:r>
      <w:r w:rsidRPr="007A0205">
        <w:rPr>
          <w:rFonts w:asciiTheme="minorHAnsi" w:hAnsiTheme="minorHAnsi" w:cstheme="minorHAnsi"/>
          <w:b/>
          <w:sz w:val="22"/>
        </w:rPr>
        <w:t xml:space="preserve"> question 1:</w:t>
      </w:r>
    </w:p>
    <w:p w14:paraId="4710ABCF" w14:textId="77777777" w:rsidR="007A0205" w:rsidRPr="0005239E" w:rsidRDefault="007A0205" w:rsidP="007A0205">
      <w:pPr>
        <w:numPr>
          <w:ilvl w:val="0"/>
          <w:numId w:val="12"/>
        </w:numPr>
        <w:rPr>
          <w:rFonts w:asciiTheme="minorHAnsi" w:hAnsiTheme="minorHAnsi" w:cstheme="minorHAnsi"/>
          <w:sz w:val="22"/>
        </w:rPr>
      </w:pPr>
      <w:r w:rsidRPr="0005239E">
        <w:rPr>
          <w:rFonts w:asciiTheme="minorHAnsi" w:hAnsiTheme="minorHAnsi" w:cstheme="minorHAnsi"/>
          <w:sz w:val="22"/>
        </w:rPr>
        <w:t xml:space="preserve">Note that there is no messy </w:t>
      </w:r>
      <w:proofErr w:type="spellStart"/>
      <w:r w:rsidRPr="0005239E">
        <w:rPr>
          <w:rFonts w:asciiTheme="minorHAnsi" w:hAnsiTheme="minorHAnsi" w:cstheme="minorHAnsi"/>
          <w:sz w:val="22"/>
        </w:rPr>
        <w:t>tranching</w:t>
      </w:r>
      <w:proofErr w:type="spellEnd"/>
      <w:r w:rsidRPr="0005239E">
        <w:rPr>
          <w:rFonts w:asciiTheme="minorHAnsi" w:hAnsiTheme="minorHAnsi" w:cstheme="minorHAnsi"/>
          <w:sz w:val="22"/>
        </w:rPr>
        <w:t xml:space="preserve"> going on here.</w:t>
      </w:r>
    </w:p>
    <w:p w14:paraId="659BF1AC" w14:textId="77777777" w:rsidR="007A0205" w:rsidRPr="0005239E" w:rsidRDefault="007A0205" w:rsidP="007A0205">
      <w:pPr>
        <w:numPr>
          <w:ilvl w:val="0"/>
          <w:numId w:val="12"/>
        </w:numPr>
        <w:rPr>
          <w:rFonts w:asciiTheme="minorHAnsi" w:hAnsiTheme="minorHAnsi" w:cstheme="minorHAnsi"/>
          <w:sz w:val="22"/>
        </w:rPr>
      </w:pPr>
      <w:r w:rsidRPr="0005239E">
        <w:rPr>
          <w:rFonts w:asciiTheme="minorHAnsi" w:hAnsiTheme="minorHAnsi" w:cstheme="minorHAnsi"/>
          <w:sz w:val="22"/>
        </w:rPr>
        <w:t>Allow for a general SDA; see the g</w:t>
      </w:r>
      <w:r>
        <w:rPr>
          <w:rFonts w:asciiTheme="minorHAnsi" w:hAnsiTheme="minorHAnsi" w:cstheme="minorHAnsi"/>
          <w:sz w:val="22"/>
        </w:rPr>
        <w:t>raph and spreadsheet in your lecture</w:t>
      </w:r>
      <w:r w:rsidRPr="0005239E">
        <w:rPr>
          <w:rFonts w:asciiTheme="minorHAnsi" w:hAnsiTheme="minorHAnsi" w:cstheme="minorHAnsi"/>
          <w:sz w:val="22"/>
        </w:rPr>
        <w:t xml:space="preserve"> notes.</w:t>
      </w:r>
    </w:p>
    <w:p w14:paraId="2A934CA5" w14:textId="77777777" w:rsidR="007A0205" w:rsidRPr="0005239E" w:rsidRDefault="007A0205" w:rsidP="007A0205">
      <w:pPr>
        <w:numPr>
          <w:ilvl w:val="0"/>
          <w:numId w:val="12"/>
        </w:numPr>
        <w:rPr>
          <w:rFonts w:asciiTheme="minorHAnsi" w:hAnsiTheme="minorHAnsi" w:cstheme="minorHAnsi"/>
          <w:sz w:val="22"/>
        </w:rPr>
      </w:pPr>
      <w:r w:rsidRPr="0005239E">
        <w:rPr>
          <w:rFonts w:asciiTheme="minorHAnsi" w:hAnsiTheme="minorHAnsi" w:cstheme="minorHAnsi"/>
          <w:sz w:val="22"/>
        </w:rPr>
        <w:t>Here is one way to get the CDR (as there are better versions, feel free to use your own, extra points if you can show me that the formula below is wrong); “A13” refers to the month and “SDA” to the SDA factor: =(</w:t>
      </w:r>
      <w:proofErr w:type="gramStart"/>
      <w:r w:rsidRPr="0005239E">
        <w:rPr>
          <w:rFonts w:asciiTheme="minorHAnsi" w:hAnsiTheme="minorHAnsi" w:cstheme="minorHAnsi"/>
          <w:sz w:val="22"/>
        </w:rPr>
        <w:t>IF(</w:t>
      </w:r>
      <w:proofErr w:type="gramEnd"/>
      <w:r w:rsidRPr="0005239E">
        <w:rPr>
          <w:rFonts w:asciiTheme="minorHAnsi" w:hAnsiTheme="minorHAnsi" w:cstheme="minorHAnsi"/>
          <w:sz w:val="22"/>
        </w:rPr>
        <w:t>A13&lt;=30,A13*0.006/30,0)+IF(AND(A13&gt;30,A13&lt;=60),0.006,0)+IF(AND(A13&gt;60,A13&lt;=120),0.006-(0.006-0.0003)/(120-60)*(A13-60),0)+IF(A13&gt;120,0.0003,0))*SDA/100</w:t>
      </w:r>
    </w:p>
    <w:p w14:paraId="6FF024C3" w14:textId="77777777" w:rsidR="007A0205" w:rsidRPr="0005239E" w:rsidRDefault="007A0205" w:rsidP="007A0205">
      <w:pPr>
        <w:numPr>
          <w:ilvl w:val="0"/>
          <w:numId w:val="12"/>
        </w:numPr>
        <w:rPr>
          <w:rFonts w:asciiTheme="minorHAnsi" w:hAnsiTheme="minorHAnsi" w:cstheme="minorHAnsi"/>
          <w:sz w:val="22"/>
        </w:rPr>
      </w:pPr>
      <w:r w:rsidRPr="0005239E">
        <w:rPr>
          <w:rFonts w:asciiTheme="minorHAnsi" w:hAnsiTheme="minorHAnsi" w:cstheme="minorHAnsi"/>
          <w:sz w:val="22"/>
        </w:rPr>
        <w:t>Assume that loss recovery is zero – any loan that defaults is a completely written down.</w:t>
      </w:r>
    </w:p>
    <w:p w14:paraId="6ABF5056" w14:textId="77777777" w:rsidR="007A0205" w:rsidRPr="0005239E" w:rsidRDefault="007A0205" w:rsidP="007A0205">
      <w:pPr>
        <w:numPr>
          <w:ilvl w:val="0"/>
          <w:numId w:val="12"/>
        </w:numPr>
        <w:rPr>
          <w:rFonts w:asciiTheme="minorHAnsi" w:hAnsiTheme="minorHAnsi" w:cstheme="minorHAnsi"/>
          <w:sz w:val="22"/>
        </w:rPr>
      </w:pPr>
      <w:r w:rsidRPr="0005239E">
        <w:rPr>
          <w:rFonts w:asciiTheme="minorHAnsi" w:hAnsiTheme="minorHAnsi" w:cstheme="minorHAnsi"/>
          <w:sz w:val="22"/>
        </w:rPr>
        <w:t xml:space="preserve">Defaults work much like prepayment, with one exception: the monthly default happens just </w:t>
      </w:r>
      <w:r w:rsidRPr="0005239E">
        <w:rPr>
          <w:rFonts w:asciiTheme="minorHAnsi" w:hAnsiTheme="minorHAnsi" w:cstheme="minorHAnsi"/>
          <w:i/>
          <w:sz w:val="22"/>
        </w:rPr>
        <w:t>before</w:t>
      </w:r>
      <w:r w:rsidRPr="0005239E">
        <w:rPr>
          <w:rFonts w:asciiTheme="minorHAnsi" w:hAnsiTheme="minorHAnsi" w:cstheme="minorHAnsi"/>
          <w:sz w:val="22"/>
        </w:rPr>
        <w:t xml:space="preserve"> the payment (why pay interest and principal if you are defaulting anyway). So ta</w:t>
      </w:r>
      <w:r>
        <w:rPr>
          <w:rFonts w:asciiTheme="minorHAnsi" w:hAnsiTheme="minorHAnsi" w:cstheme="minorHAnsi"/>
          <w:sz w:val="22"/>
        </w:rPr>
        <w:t>ke default = beginning balance × MDR</w:t>
      </w:r>
      <w:r w:rsidRPr="0005239E">
        <w:rPr>
          <w:rFonts w:asciiTheme="minorHAnsi" w:hAnsiTheme="minorHAnsi" w:cstheme="minorHAnsi"/>
          <w:sz w:val="22"/>
        </w:rPr>
        <w:t xml:space="preserve"> and </w:t>
      </w:r>
      <w:r>
        <w:rPr>
          <w:rFonts w:asciiTheme="minorHAnsi" w:hAnsiTheme="minorHAnsi" w:cstheme="minorHAnsi"/>
          <w:sz w:val="22"/>
        </w:rPr>
        <w:t xml:space="preserve">then </w:t>
      </w:r>
      <w:r w:rsidRPr="0005239E">
        <w:rPr>
          <w:rFonts w:asciiTheme="minorHAnsi" w:hAnsiTheme="minorHAnsi" w:cstheme="minorHAnsi"/>
          <w:sz w:val="22"/>
        </w:rPr>
        <w:t xml:space="preserve">apply the </w:t>
      </w:r>
      <w:r>
        <w:rPr>
          <w:rFonts w:asciiTheme="minorHAnsi" w:hAnsiTheme="minorHAnsi" w:cstheme="minorHAnsi"/>
          <w:sz w:val="22"/>
        </w:rPr>
        <w:t xml:space="preserve">appropriate </w:t>
      </w:r>
      <w:r w:rsidRPr="0005239E">
        <w:rPr>
          <w:rFonts w:asciiTheme="minorHAnsi" w:hAnsiTheme="minorHAnsi" w:cstheme="minorHAnsi"/>
          <w:sz w:val="22"/>
        </w:rPr>
        <w:t>p</w:t>
      </w:r>
      <w:r>
        <w:rPr>
          <w:rFonts w:asciiTheme="minorHAnsi" w:hAnsiTheme="minorHAnsi" w:cstheme="minorHAnsi"/>
          <w:sz w:val="22"/>
        </w:rPr>
        <w:t xml:space="preserve">ool survival factor </w:t>
      </w:r>
      <w:r w:rsidRPr="0005239E">
        <w:rPr>
          <w:rFonts w:asciiTheme="minorHAnsi" w:hAnsiTheme="minorHAnsi" w:cstheme="minorHAnsi"/>
          <w:sz w:val="22"/>
        </w:rPr>
        <w:t>to get the realized “mortgage payment.”</w:t>
      </w:r>
    </w:p>
    <w:p w14:paraId="4879EB0D" w14:textId="77777777" w:rsidR="007A0205" w:rsidRPr="0005239E" w:rsidRDefault="007A0205" w:rsidP="007A0205">
      <w:pPr>
        <w:numPr>
          <w:ilvl w:val="0"/>
          <w:numId w:val="12"/>
        </w:numPr>
        <w:rPr>
          <w:rFonts w:asciiTheme="minorHAnsi" w:hAnsiTheme="minorHAnsi" w:cstheme="minorHAnsi"/>
          <w:sz w:val="22"/>
        </w:rPr>
      </w:pPr>
      <w:r w:rsidRPr="0005239E">
        <w:rPr>
          <w:rFonts w:asciiTheme="minorHAnsi" w:hAnsiTheme="minorHAnsi" w:cstheme="minorHAnsi"/>
          <w:sz w:val="22"/>
        </w:rPr>
        <w:t>Make sure you create a column of the PT cash flows, including the initial investment</w:t>
      </w:r>
      <w:r>
        <w:rPr>
          <w:rFonts w:asciiTheme="minorHAnsi" w:hAnsiTheme="minorHAnsi" w:cstheme="minorHAnsi"/>
          <w:sz w:val="22"/>
        </w:rPr>
        <w:t xml:space="preserve"> at par</w:t>
      </w:r>
      <w:r w:rsidRPr="0005239E">
        <w:rPr>
          <w:rFonts w:asciiTheme="minorHAnsi" w:hAnsiTheme="minorHAnsi" w:cstheme="minorHAnsi"/>
          <w:sz w:val="22"/>
        </w:rPr>
        <w:t>, so that you can calculate the CF yield.</w:t>
      </w:r>
    </w:p>
    <w:p w14:paraId="083B3C93" w14:textId="77777777" w:rsidR="007A0205" w:rsidRPr="0005239E" w:rsidRDefault="007A0205" w:rsidP="007A0205">
      <w:pPr>
        <w:numPr>
          <w:ilvl w:val="0"/>
          <w:numId w:val="12"/>
        </w:numPr>
        <w:rPr>
          <w:rFonts w:asciiTheme="minorHAnsi" w:hAnsiTheme="minorHAnsi" w:cstheme="minorHAnsi"/>
          <w:sz w:val="22"/>
        </w:rPr>
      </w:pPr>
      <w:r w:rsidRPr="0005239E">
        <w:rPr>
          <w:rFonts w:asciiTheme="minorHAnsi" w:hAnsiTheme="minorHAnsi" w:cstheme="minorHAnsi"/>
          <w:sz w:val="22"/>
        </w:rPr>
        <w:t xml:space="preserve">Balloon losses are quoted as a fraction of the final outstanding principal.  </w:t>
      </w:r>
    </w:p>
    <w:p w14:paraId="638F87A0" w14:textId="77777777" w:rsidR="007A0205" w:rsidRPr="0005239E" w:rsidRDefault="007A0205" w:rsidP="007A0205">
      <w:pPr>
        <w:numPr>
          <w:ilvl w:val="0"/>
          <w:numId w:val="12"/>
        </w:numPr>
        <w:rPr>
          <w:rFonts w:asciiTheme="minorHAnsi" w:hAnsiTheme="minorHAnsi" w:cstheme="minorHAnsi"/>
          <w:sz w:val="22"/>
        </w:rPr>
      </w:pPr>
      <w:r w:rsidRPr="0005239E">
        <w:rPr>
          <w:rFonts w:asciiTheme="minorHAnsi" w:hAnsiTheme="minorHAnsi" w:cstheme="minorHAnsi"/>
          <w:sz w:val="22"/>
        </w:rPr>
        <w:t>In your graph, show a range of SDA’s of 0 to 1,000. You will find that you do not have to compute very many values in that range.</w:t>
      </w:r>
    </w:p>
    <w:p w14:paraId="1452F61F" w14:textId="77777777" w:rsidR="007A0205" w:rsidRPr="00D50587" w:rsidRDefault="007A0205" w:rsidP="007A0205">
      <w:pPr>
        <w:numPr>
          <w:ilvl w:val="0"/>
          <w:numId w:val="12"/>
        </w:numPr>
        <w:rPr>
          <w:rFonts w:asciiTheme="minorHAnsi" w:hAnsiTheme="minorHAnsi" w:cstheme="minorHAnsi"/>
          <w:b/>
          <w:sz w:val="22"/>
        </w:rPr>
      </w:pPr>
      <w:r w:rsidRPr="00D50587">
        <w:rPr>
          <w:rFonts w:asciiTheme="minorHAnsi" w:hAnsiTheme="minorHAnsi" w:cstheme="minorHAnsi"/>
          <w:b/>
          <w:sz w:val="22"/>
        </w:rPr>
        <w:t>Display all cash flows to the nearest dollar (use format → cell).</w:t>
      </w:r>
    </w:p>
    <w:p w14:paraId="4DB8B371" w14:textId="77777777" w:rsidR="007A0205" w:rsidRDefault="007A0205" w:rsidP="007A0205">
      <w:pPr>
        <w:rPr>
          <w:rFonts w:asciiTheme="minorHAnsi" w:hAnsiTheme="minorHAnsi" w:cstheme="minorHAnsi"/>
          <w:sz w:val="22"/>
        </w:rPr>
      </w:pPr>
    </w:p>
    <w:p w14:paraId="41C8C806" w14:textId="77777777" w:rsidR="007A0205" w:rsidRPr="007B6422" w:rsidRDefault="007A0205" w:rsidP="007B6422">
      <w:pPr>
        <w:rPr>
          <w:rFonts w:asciiTheme="minorHAnsi" w:hAnsiTheme="minorHAnsi" w:cstheme="minorHAnsi"/>
          <w:sz w:val="22"/>
        </w:rPr>
      </w:pPr>
    </w:p>
    <w:sectPr w:rsidR="007A0205" w:rsidRPr="007B64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0B90"/>
    <w:multiLevelType w:val="hybridMultilevel"/>
    <w:tmpl w:val="CD8E6C5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1A025C"/>
    <w:multiLevelType w:val="hybridMultilevel"/>
    <w:tmpl w:val="88382D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7069F"/>
    <w:multiLevelType w:val="hybridMultilevel"/>
    <w:tmpl w:val="5B16CE2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8C158A"/>
    <w:multiLevelType w:val="hybridMultilevel"/>
    <w:tmpl w:val="DD46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4210A1"/>
    <w:multiLevelType w:val="hybridMultilevel"/>
    <w:tmpl w:val="21AAE50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AE33D4"/>
    <w:multiLevelType w:val="hybridMultilevel"/>
    <w:tmpl w:val="C41E56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FB3C9D"/>
    <w:multiLevelType w:val="hybridMultilevel"/>
    <w:tmpl w:val="8C983D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074564"/>
    <w:multiLevelType w:val="hybridMultilevel"/>
    <w:tmpl w:val="C0D098E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E61A4A"/>
    <w:multiLevelType w:val="hybridMultilevel"/>
    <w:tmpl w:val="676C062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EE3B2F"/>
    <w:multiLevelType w:val="hybridMultilevel"/>
    <w:tmpl w:val="33768C36"/>
    <w:lvl w:ilvl="0" w:tplc="94FE38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913975"/>
    <w:multiLevelType w:val="hybridMultilevel"/>
    <w:tmpl w:val="0A8870C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500747"/>
    <w:multiLevelType w:val="hybridMultilevel"/>
    <w:tmpl w:val="B16ADFF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356093"/>
    <w:multiLevelType w:val="hybridMultilevel"/>
    <w:tmpl w:val="71BE20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221374"/>
    <w:multiLevelType w:val="multilevel"/>
    <w:tmpl w:val="1B98D5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5823DC9"/>
    <w:multiLevelType w:val="hybridMultilevel"/>
    <w:tmpl w:val="F940BD3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8"/>
  </w:num>
  <w:num w:numId="4">
    <w:abstractNumId w:val="4"/>
  </w:num>
  <w:num w:numId="5">
    <w:abstractNumId w:val="14"/>
  </w:num>
  <w:num w:numId="6">
    <w:abstractNumId w:val="6"/>
  </w:num>
  <w:num w:numId="7">
    <w:abstractNumId w:val="2"/>
  </w:num>
  <w:num w:numId="8">
    <w:abstractNumId w:val="11"/>
  </w:num>
  <w:num w:numId="9">
    <w:abstractNumId w:val="7"/>
  </w:num>
  <w:num w:numId="10">
    <w:abstractNumId w:val="10"/>
  </w:num>
  <w:num w:numId="11">
    <w:abstractNumId w:val="12"/>
  </w:num>
  <w:num w:numId="12">
    <w:abstractNumId w:val="1"/>
  </w:num>
  <w:num w:numId="13">
    <w:abstractNumId w:val="3"/>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3A4"/>
    <w:rsid w:val="00002512"/>
    <w:rsid w:val="00012260"/>
    <w:rsid w:val="0002713E"/>
    <w:rsid w:val="00046C96"/>
    <w:rsid w:val="0005239E"/>
    <w:rsid w:val="00063AB5"/>
    <w:rsid w:val="00065741"/>
    <w:rsid w:val="00071D04"/>
    <w:rsid w:val="00081823"/>
    <w:rsid w:val="0009124C"/>
    <w:rsid w:val="00092339"/>
    <w:rsid w:val="000B4F51"/>
    <w:rsid w:val="000D1F14"/>
    <w:rsid w:val="000D55D5"/>
    <w:rsid w:val="000F1488"/>
    <w:rsid w:val="001049C2"/>
    <w:rsid w:val="00111563"/>
    <w:rsid w:val="0011189C"/>
    <w:rsid w:val="001638D6"/>
    <w:rsid w:val="00167E1E"/>
    <w:rsid w:val="0018132E"/>
    <w:rsid w:val="001B3540"/>
    <w:rsid w:val="001B5A78"/>
    <w:rsid w:val="001C58CF"/>
    <w:rsid w:val="001F20E1"/>
    <w:rsid w:val="001F2686"/>
    <w:rsid w:val="002350F2"/>
    <w:rsid w:val="00241ABE"/>
    <w:rsid w:val="00241DFB"/>
    <w:rsid w:val="00250510"/>
    <w:rsid w:val="00257D4E"/>
    <w:rsid w:val="002679C9"/>
    <w:rsid w:val="00295AB2"/>
    <w:rsid w:val="002B1B2B"/>
    <w:rsid w:val="002B1EC8"/>
    <w:rsid w:val="002C1266"/>
    <w:rsid w:val="002C1A08"/>
    <w:rsid w:val="002F0DD9"/>
    <w:rsid w:val="00314DA6"/>
    <w:rsid w:val="003252BA"/>
    <w:rsid w:val="0033160B"/>
    <w:rsid w:val="00357271"/>
    <w:rsid w:val="00357A45"/>
    <w:rsid w:val="003715D2"/>
    <w:rsid w:val="00371F75"/>
    <w:rsid w:val="0037424E"/>
    <w:rsid w:val="0038174A"/>
    <w:rsid w:val="003B48FA"/>
    <w:rsid w:val="003C3A45"/>
    <w:rsid w:val="003C54FA"/>
    <w:rsid w:val="003D1229"/>
    <w:rsid w:val="003D7DBD"/>
    <w:rsid w:val="00402B48"/>
    <w:rsid w:val="00423D25"/>
    <w:rsid w:val="004248CF"/>
    <w:rsid w:val="004256B3"/>
    <w:rsid w:val="004615A5"/>
    <w:rsid w:val="004705F5"/>
    <w:rsid w:val="00471054"/>
    <w:rsid w:val="00473766"/>
    <w:rsid w:val="004933B1"/>
    <w:rsid w:val="004977BD"/>
    <w:rsid w:val="004B61E0"/>
    <w:rsid w:val="004D3865"/>
    <w:rsid w:val="004D3872"/>
    <w:rsid w:val="004F6761"/>
    <w:rsid w:val="0052446A"/>
    <w:rsid w:val="00525F69"/>
    <w:rsid w:val="005266FB"/>
    <w:rsid w:val="00534273"/>
    <w:rsid w:val="00536DEF"/>
    <w:rsid w:val="00544FD8"/>
    <w:rsid w:val="005707FC"/>
    <w:rsid w:val="00571343"/>
    <w:rsid w:val="00581A33"/>
    <w:rsid w:val="00596754"/>
    <w:rsid w:val="005C1A15"/>
    <w:rsid w:val="005C5D20"/>
    <w:rsid w:val="005D3BC5"/>
    <w:rsid w:val="005E6E36"/>
    <w:rsid w:val="00611A1A"/>
    <w:rsid w:val="006214E5"/>
    <w:rsid w:val="00630165"/>
    <w:rsid w:val="00632522"/>
    <w:rsid w:val="00642642"/>
    <w:rsid w:val="00686805"/>
    <w:rsid w:val="006A3F11"/>
    <w:rsid w:val="006A5908"/>
    <w:rsid w:val="006A5912"/>
    <w:rsid w:val="006B1511"/>
    <w:rsid w:val="006B4EDC"/>
    <w:rsid w:val="006F1F9D"/>
    <w:rsid w:val="006F5BDE"/>
    <w:rsid w:val="00702820"/>
    <w:rsid w:val="00716DAE"/>
    <w:rsid w:val="0072761D"/>
    <w:rsid w:val="00740570"/>
    <w:rsid w:val="00753965"/>
    <w:rsid w:val="00756DF9"/>
    <w:rsid w:val="00760057"/>
    <w:rsid w:val="007643EE"/>
    <w:rsid w:val="0079170F"/>
    <w:rsid w:val="007A0205"/>
    <w:rsid w:val="007A5DD8"/>
    <w:rsid w:val="007B6422"/>
    <w:rsid w:val="007C497C"/>
    <w:rsid w:val="007D293C"/>
    <w:rsid w:val="007D40B7"/>
    <w:rsid w:val="007D4D54"/>
    <w:rsid w:val="007F6278"/>
    <w:rsid w:val="00807461"/>
    <w:rsid w:val="00833A08"/>
    <w:rsid w:val="008660D0"/>
    <w:rsid w:val="0088666A"/>
    <w:rsid w:val="008B1CD7"/>
    <w:rsid w:val="008B661B"/>
    <w:rsid w:val="008C534D"/>
    <w:rsid w:val="008D6941"/>
    <w:rsid w:val="009061B5"/>
    <w:rsid w:val="009158FF"/>
    <w:rsid w:val="00926E5D"/>
    <w:rsid w:val="00931585"/>
    <w:rsid w:val="009905DF"/>
    <w:rsid w:val="009A22E4"/>
    <w:rsid w:val="009A2D9C"/>
    <w:rsid w:val="009B0781"/>
    <w:rsid w:val="009B7D17"/>
    <w:rsid w:val="009C7F42"/>
    <w:rsid w:val="009E329B"/>
    <w:rsid w:val="009E73AB"/>
    <w:rsid w:val="009F7C4C"/>
    <w:rsid w:val="00A01241"/>
    <w:rsid w:val="00A0190F"/>
    <w:rsid w:val="00A04770"/>
    <w:rsid w:val="00A1245D"/>
    <w:rsid w:val="00A159C5"/>
    <w:rsid w:val="00A40161"/>
    <w:rsid w:val="00A520AF"/>
    <w:rsid w:val="00A525DF"/>
    <w:rsid w:val="00A53D43"/>
    <w:rsid w:val="00A61AF1"/>
    <w:rsid w:val="00A836C7"/>
    <w:rsid w:val="00A95893"/>
    <w:rsid w:val="00AA200A"/>
    <w:rsid w:val="00AD2B64"/>
    <w:rsid w:val="00B11440"/>
    <w:rsid w:val="00B11FB1"/>
    <w:rsid w:val="00B17C05"/>
    <w:rsid w:val="00B55D2A"/>
    <w:rsid w:val="00B7056F"/>
    <w:rsid w:val="00B7503A"/>
    <w:rsid w:val="00B90382"/>
    <w:rsid w:val="00BA0E16"/>
    <w:rsid w:val="00BB141E"/>
    <w:rsid w:val="00BC2860"/>
    <w:rsid w:val="00BC2D18"/>
    <w:rsid w:val="00BC7253"/>
    <w:rsid w:val="00BC7D40"/>
    <w:rsid w:val="00BD0FDB"/>
    <w:rsid w:val="00C35915"/>
    <w:rsid w:val="00C42F6E"/>
    <w:rsid w:val="00C555B8"/>
    <w:rsid w:val="00C60529"/>
    <w:rsid w:val="00C630B8"/>
    <w:rsid w:val="00C91EF8"/>
    <w:rsid w:val="00C962DB"/>
    <w:rsid w:val="00CA23A4"/>
    <w:rsid w:val="00CB5929"/>
    <w:rsid w:val="00D006DE"/>
    <w:rsid w:val="00D006EA"/>
    <w:rsid w:val="00D032E5"/>
    <w:rsid w:val="00D119D2"/>
    <w:rsid w:val="00D143D5"/>
    <w:rsid w:val="00D50587"/>
    <w:rsid w:val="00D50708"/>
    <w:rsid w:val="00D77D1B"/>
    <w:rsid w:val="00D86037"/>
    <w:rsid w:val="00D8631A"/>
    <w:rsid w:val="00D91E82"/>
    <w:rsid w:val="00D93BA4"/>
    <w:rsid w:val="00D9414C"/>
    <w:rsid w:val="00D947C9"/>
    <w:rsid w:val="00DA39A2"/>
    <w:rsid w:val="00DA5D85"/>
    <w:rsid w:val="00DC01C9"/>
    <w:rsid w:val="00DC4B6B"/>
    <w:rsid w:val="00E059CF"/>
    <w:rsid w:val="00E42450"/>
    <w:rsid w:val="00E54F7B"/>
    <w:rsid w:val="00E5690C"/>
    <w:rsid w:val="00E758F9"/>
    <w:rsid w:val="00E800EB"/>
    <w:rsid w:val="00E80AAF"/>
    <w:rsid w:val="00E865EE"/>
    <w:rsid w:val="00E879C0"/>
    <w:rsid w:val="00E9069F"/>
    <w:rsid w:val="00EC3D45"/>
    <w:rsid w:val="00ED4D36"/>
    <w:rsid w:val="00ED5A1B"/>
    <w:rsid w:val="00ED6CE0"/>
    <w:rsid w:val="00ED7DD8"/>
    <w:rsid w:val="00F12399"/>
    <w:rsid w:val="00F14E87"/>
    <w:rsid w:val="00F360EA"/>
    <w:rsid w:val="00F42B72"/>
    <w:rsid w:val="00F5313B"/>
    <w:rsid w:val="00F55F85"/>
    <w:rsid w:val="00F710EC"/>
    <w:rsid w:val="00F82517"/>
    <w:rsid w:val="00F96CBE"/>
    <w:rsid w:val="00FA4A41"/>
    <w:rsid w:val="00FB1EB6"/>
    <w:rsid w:val="00FD351B"/>
    <w:rsid w:val="00FE27B8"/>
    <w:rsid w:val="00FE28B6"/>
    <w:rsid w:val="00FF1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35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1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89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1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550</Words>
  <Characters>3139</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 M. Welke</dc:creator>
  <cp:lastModifiedBy>Bob Liu</cp:lastModifiedBy>
  <cp:revision>53</cp:revision>
  <dcterms:created xsi:type="dcterms:W3CDTF">2012-07-15T01:20:00Z</dcterms:created>
  <dcterms:modified xsi:type="dcterms:W3CDTF">2016-11-16T04:07:00Z</dcterms:modified>
</cp:coreProperties>
</file>