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0D" w:rsidRPr="0063160D" w:rsidRDefault="0063160D" w:rsidP="0063160D">
      <w:pPr>
        <w:spacing w:before="100" w:beforeAutospacing="1" w:after="100" w:afterAutospacing="1" w:line="276" w:lineRule="auto"/>
        <w:rPr>
          <w:rFonts w:ascii="Georgia" w:hAnsi="Georgia" w:cs="Times New Roman"/>
          <w:color w:val="333333"/>
        </w:rPr>
      </w:pPr>
      <w:proofErr w:type="spellStart"/>
      <w:r w:rsidRPr="0063160D">
        <w:rPr>
          <w:rFonts w:ascii="Georgia" w:hAnsi="Georgia" w:cs="Times New Roman"/>
          <w:color w:val="333333"/>
        </w:rPr>
        <w:t>BioCom</w:t>
      </w:r>
      <w:proofErr w:type="spellEnd"/>
      <w:r w:rsidRPr="0063160D">
        <w:rPr>
          <w:rFonts w:ascii="Georgia" w:hAnsi="Georgia" w:cs="Times New Roman"/>
          <w:color w:val="333333"/>
        </w:rPr>
        <w:t xml:space="preserve">, Inc. is weighing a proposal to manufacture and market a fiber-optic device that will continuously monitor blood pressure during cardiovascular surgery and other medical procedures in which precise, real-time measurements are critical. The device will continuously transmit information to a computer via a thin fiber-optic cable and display measurements on several large monitors in view of operating room personnel. It will also store the data and display it graphically for review during or after procedures. </w:t>
      </w:r>
      <w:proofErr w:type="spellStart"/>
      <w:r w:rsidRPr="0063160D">
        <w:rPr>
          <w:rFonts w:ascii="Georgia" w:hAnsi="Georgia" w:cs="Times New Roman"/>
          <w:color w:val="333333"/>
        </w:rPr>
        <w:t>BioCom</w:t>
      </w:r>
      <w:proofErr w:type="spellEnd"/>
      <w:r w:rsidRPr="0063160D">
        <w:rPr>
          <w:rFonts w:ascii="Georgia" w:hAnsi="Georgia" w:cs="Times New Roman"/>
          <w:color w:val="333333"/>
        </w:rPr>
        <w:t xml:space="preserve"> will market various versions of the device, but manufacture all of them in the same facility using the same equipment. The versions will have similar markups and cost structures. If management decides to bring this device to market, </w:t>
      </w:r>
      <w:proofErr w:type="spellStart"/>
      <w:r w:rsidRPr="0063160D">
        <w:rPr>
          <w:rFonts w:ascii="Georgia" w:hAnsi="Georgia" w:cs="Times New Roman"/>
          <w:color w:val="333333"/>
        </w:rPr>
        <w:t>BioCom</w:t>
      </w:r>
      <w:proofErr w:type="spellEnd"/>
      <w:r w:rsidRPr="0063160D">
        <w:rPr>
          <w:rFonts w:ascii="Georgia" w:hAnsi="Georgia" w:cs="Times New Roman"/>
          <w:color w:val="333333"/>
        </w:rPr>
        <w:t xml:space="preserve"> will stop selling an earlier, less sophisticated version of the monitor. The product that </w:t>
      </w:r>
      <w:proofErr w:type="spellStart"/>
      <w:r w:rsidRPr="0063160D">
        <w:rPr>
          <w:rFonts w:ascii="Georgia" w:hAnsi="Georgia" w:cs="Times New Roman"/>
          <w:color w:val="333333"/>
        </w:rPr>
        <w:t>BioCom</w:t>
      </w:r>
      <w:proofErr w:type="spellEnd"/>
      <w:r w:rsidRPr="0063160D">
        <w:rPr>
          <w:rFonts w:ascii="Georgia" w:hAnsi="Georgia" w:cs="Times New Roman"/>
          <w:color w:val="333333"/>
        </w:rPr>
        <w:t xml:space="preserve"> will discontinue now contributes about $1,650,000 per year to operating cash flow</w:t>
      </w:r>
      <w:bookmarkStart w:id="0" w:name="_GoBack"/>
      <w:bookmarkEnd w:id="0"/>
      <w:r w:rsidRPr="0063160D">
        <w:rPr>
          <w:rFonts w:ascii="Georgia" w:hAnsi="Georgia" w:cs="Times New Roman"/>
          <w:color w:val="333333"/>
        </w:rPr>
        <w:t xml:space="preserve">, and projected sales are flat. </w:t>
      </w:r>
      <w:proofErr w:type="spellStart"/>
      <w:r w:rsidRPr="0063160D">
        <w:rPr>
          <w:rFonts w:ascii="Georgia" w:hAnsi="Georgia" w:cs="Times New Roman"/>
          <w:color w:val="333333"/>
        </w:rPr>
        <w:t>BioCom</w:t>
      </w:r>
      <w:proofErr w:type="spellEnd"/>
      <w:r w:rsidRPr="0063160D">
        <w:rPr>
          <w:rFonts w:ascii="Georgia" w:hAnsi="Georgia" w:cs="Times New Roman"/>
          <w:color w:val="333333"/>
        </w:rPr>
        <w:t xml:space="preserve"> focuses exclusively on cutting-edge applications, so it expects to discontinue the new monitor after five years. At that time, it will sell the technology and used manufacturing equipment to a foreign company for an estimated $2,400,000.</w:t>
      </w:r>
    </w:p>
    <w:p w:rsidR="0063160D" w:rsidRPr="0063160D" w:rsidRDefault="0063160D" w:rsidP="0063160D">
      <w:pPr>
        <w:spacing w:before="100" w:beforeAutospacing="1" w:after="100" w:afterAutospacing="1" w:line="276" w:lineRule="auto"/>
        <w:rPr>
          <w:rFonts w:ascii="Georgia" w:hAnsi="Georgia" w:cs="Times New Roman"/>
          <w:color w:val="333333"/>
        </w:rPr>
      </w:pPr>
      <w:r w:rsidRPr="0063160D">
        <w:rPr>
          <w:rFonts w:ascii="Georgia" w:hAnsi="Georgia" w:cs="Times New Roman"/>
          <w:color w:val="333333"/>
        </w:rPr>
        <w:t>Cost analysts have collected the following figures and submitted them to the treasurer’s office for additional study and a final decision on whether to proceed. You, as assistant to the treasurer, must compute and evaluate the basic capital budgeting criteria. The project will initially increase working capital by $480,000, which the company will recover at the end of the project when it sells remaining inventory and collects accounts receivable. The analysts are not quite sure if they should include $450,000 that the company already spent on research and development for the new product. They also disagree about whether the effect of the discontinued monitor on the company’s overall operating cash flows is relevant to the decision on the new product line, so you must decide how to deal with these two items.</w:t>
      </w:r>
    </w:p>
    <w:tbl>
      <w:tblPr>
        <w:tblW w:w="11340" w:type="dxa"/>
        <w:shd w:val="clear" w:color="auto" w:fill="C9DEE8"/>
        <w:tblCellMar>
          <w:top w:w="15" w:type="dxa"/>
          <w:left w:w="15" w:type="dxa"/>
          <w:bottom w:w="15" w:type="dxa"/>
          <w:right w:w="15" w:type="dxa"/>
        </w:tblCellMar>
        <w:tblLook w:val="04A0" w:firstRow="1" w:lastRow="0" w:firstColumn="1" w:lastColumn="0" w:noHBand="0" w:noVBand="1"/>
      </w:tblPr>
      <w:tblGrid>
        <w:gridCol w:w="9214"/>
        <w:gridCol w:w="2126"/>
      </w:tblGrid>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Cost of new plant and equipment</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$24,000,000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Designs and prototypes</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  450,000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Estimated salvage value of technology and equipment, end of year 5</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$ 2,400,000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First-year sales forecast</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$16,500,000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Projected annual rate of sales increases</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6%</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Cost of goods sold</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40% of sales</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Selling, general, and administrative expenses</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5% of sales</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Annual fixed cost</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$600,000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Operating cash flow from current desk sales</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$1,650,000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Economic life of the project</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5 years</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Initial change in net working capital</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$480,000</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Depreciation</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5-year MACRS</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Tax rate</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34%</w:t>
            </w:r>
          </w:p>
        </w:tc>
      </w:tr>
      <w:tr w:rsidR="0063160D" w:rsidRPr="0063160D" w:rsidTr="0063160D">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Discount rate = cost of capital</w:t>
            </w:r>
          </w:p>
        </w:tc>
        <w:tc>
          <w:tcPr>
            <w:tcW w:w="0" w:type="auto"/>
            <w:shd w:val="clear" w:color="auto" w:fill="C9DEE8"/>
            <w:tcMar>
              <w:top w:w="0" w:type="dxa"/>
              <w:left w:w="0" w:type="dxa"/>
              <w:bottom w:w="0" w:type="dxa"/>
              <w:right w:w="0" w:type="dxa"/>
            </w:tcMar>
            <w:vAlign w:val="center"/>
            <w:hideMark/>
          </w:tcPr>
          <w:p w:rsidR="0063160D" w:rsidRPr="0063160D" w:rsidRDefault="0063160D" w:rsidP="0063160D">
            <w:pPr>
              <w:spacing w:before="100" w:beforeAutospacing="1" w:after="100" w:afterAutospacing="1"/>
              <w:rPr>
                <w:rFonts w:ascii="Times" w:hAnsi="Times" w:cs="Times New Roman"/>
                <w:sz w:val="20"/>
                <w:szCs w:val="20"/>
              </w:rPr>
            </w:pPr>
            <w:r w:rsidRPr="0063160D">
              <w:rPr>
                <w:rFonts w:ascii="Times" w:hAnsi="Times" w:cs="Times New Roman"/>
                <w:sz w:val="20"/>
                <w:szCs w:val="20"/>
              </w:rPr>
              <w:t>9%</w:t>
            </w:r>
          </w:p>
        </w:tc>
      </w:tr>
    </w:tbl>
    <w:p w:rsidR="0063160D" w:rsidRPr="0063160D" w:rsidRDefault="0063160D" w:rsidP="0063160D">
      <w:pPr>
        <w:spacing w:before="100" w:beforeAutospacing="1" w:after="100" w:afterAutospacing="1"/>
        <w:rPr>
          <w:rFonts w:ascii="Georgia" w:hAnsi="Georgia" w:cs="Times New Roman"/>
          <w:color w:val="333333"/>
        </w:rPr>
      </w:pPr>
      <w:r w:rsidRPr="0063160D">
        <w:rPr>
          <w:rFonts w:ascii="Georgia" w:hAnsi="Georgia" w:cs="Times New Roman"/>
          <w:b/>
          <w:bCs/>
          <w:color w:val="333333"/>
          <w:sz w:val="27"/>
          <w:szCs w:val="27"/>
        </w:rPr>
        <w:t>QUESTIONS</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lastRenderedPageBreak/>
        <w:t>1.</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 xml:space="preserve">What is the total relevant initial investment for </w:t>
      </w:r>
      <w:proofErr w:type="spellStart"/>
      <w:r w:rsidRPr="0063160D">
        <w:rPr>
          <w:rFonts w:ascii="Georgia" w:hAnsi="Georgia" w:cs="Times New Roman"/>
          <w:color w:val="333333"/>
        </w:rPr>
        <w:t>BioCom’s</w:t>
      </w:r>
      <w:proofErr w:type="spellEnd"/>
      <w:r w:rsidRPr="0063160D">
        <w:rPr>
          <w:rFonts w:ascii="Georgia" w:hAnsi="Georgia" w:cs="Times New Roman"/>
          <w:color w:val="333333"/>
        </w:rPr>
        <w:t xml:space="preserve"> new product line? Would you include the designs and prototypes? Would you include the change in net working capital?</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2.</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What is the cash flow resulting from disposal of the equipment at the end of the project?</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3.</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Compute a schedule of depreciation for the plant and equipment.</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4.</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 xml:space="preserve">Compute a schedule of operating cash flows for </w:t>
      </w:r>
      <w:proofErr w:type="spellStart"/>
      <w:r w:rsidRPr="0063160D">
        <w:rPr>
          <w:rFonts w:ascii="Georgia" w:hAnsi="Georgia" w:cs="Times New Roman"/>
          <w:color w:val="333333"/>
        </w:rPr>
        <w:t>BioCom’s</w:t>
      </w:r>
      <w:proofErr w:type="spellEnd"/>
      <w:r w:rsidRPr="0063160D">
        <w:rPr>
          <w:rFonts w:ascii="Georgia" w:hAnsi="Georgia" w:cs="Times New Roman"/>
          <w:color w:val="333333"/>
        </w:rPr>
        <w:t xml:space="preserve"> new product.</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5.</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 xml:space="preserve">Compute a schedule of incremental cash flows for </w:t>
      </w:r>
      <w:proofErr w:type="spellStart"/>
      <w:r w:rsidRPr="0063160D">
        <w:rPr>
          <w:rFonts w:ascii="Georgia" w:hAnsi="Georgia" w:cs="Times New Roman"/>
          <w:color w:val="333333"/>
        </w:rPr>
        <w:t>BioCom’s</w:t>
      </w:r>
      <w:proofErr w:type="spellEnd"/>
      <w:r w:rsidRPr="0063160D">
        <w:rPr>
          <w:rFonts w:ascii="Georgia" w:hAnsi="Georgia" w:cs="Times New Roman"/>
          <w:color w:val="333333"/>
        </w:rPr>
        <w:t xml:space="preserve"> new product.</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6.</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Compute the project’s net present value.</w:t>
      </w:r>
    </w:p>
    <w:p w:rsidR="0063160D" w:rsidRPr="0063160D" w:rsidRDefault="0063160D" w:rsidP="0063160D">
      <w:pPr>
        <w:rPr>
          <w:rFonts w:ascii="Georgia" w:eastAsia="Times New Roman" w:hAnsi="Georgia" w:cs="Times New Roman"/>
          <w:color w:val="333333"/>
        </w:rPr>
      </w:pPr>
      <w:r w:rsidRPr="0063160D">
        <w:rPr>
          <w:rFonts w:ascii="Georgia" w:eastAsia="Times New Roman" w:hAnsi="Georgia" w:cs="Times New Roman"/>
          <w:b/>
          <w:bCs/>
          <w:color w:val="333333"/>
        </w:rPr>
        <w:t>7.</w:t>
      </w:r>
    </w:p>
    <w:p w:rsidR="0063160D" w:rsidRPr="0063160D" w:rsidRDefault="0063160D" w:rsidP="0063160D">
      <w:pPr>
        <w:spacing w:before="100" w:beforeAutospacing="1" w:after="100" w:afterAutospacing="1"/>
        <w:ind w:left="750"/>
        <w:rPr>
          <w:rFonts w:ascii="Georgia" w:hAnsi="Georgia" w:cs="Times New Roman"/>
          <w:color w:val="333333"/>
        </w:rPr>
      </w:pPr>
      <w:r w:rsidRPr="0063160D">
        <w:rPr>
          <w:rFonts w:ascii="Georgia" w:hAnsi="Georgia" w:cs="Times New Roman"/>
          <w:color w:val="333333"/>
        </w:rPr>
        <w:t>Does your answer to Question 6 indicate that management should accept or reject the product?</w:t>
      </w:r>
    </w:p>
    <w:p w:rsidR="00E102AA" w:rsidRDefault="00E102AA"/>
    <w:sectPr w:rsidR="00E102AA" w:rsidSect="00894F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0D"/>
    <w:rsid w:val="0063160D"/>
    <w:rsid w:val="00894FB5"/>
    <w:rsid w:val="00E1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76E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60D"/>
    <w:pPr>
      <w:spacing w:before="100" w:beforeAutospacing="1" w:after="100" w:afterAutospacing="1"/>
    </w:pPr>
    <w:rPr>
      <w:rFonts w:ascii="Times" w:hAnsi="Times" w:cs="Times New Roman"/>
      <w:sz w:val="20"/>
      <w:szCs w:val="20"/>
    </w:rPr>
  </w:style>
  <w:style w:type="character" w:customStyle="1" w:styleId="label">
    <w:name w:val="label"/>
    <w:basedOn w:val="DefaultParagraphFont"/>
    <w:rsid w:val="006316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60D"/>
    <w:pPr>
      <w:spacing w:before="100" w:beforeAutospacing="1" w:after="100" w:afterAutospacing="1"/>
    </w:pPr>
    <w:rPr>
      <w:rFonts w:ascii="Times" w:hAnsi="Times" w:cs="Times New Roman"/>
      <w:sz w:val="20"/>
      <w:szCs w:val="20"/>
    </w:rPr>
  </w:style>
  <w:style w:type="character" w:customStyle="1" w:styleId="label">
    <w:name w:val="label"/>
    <w:basedOn w:val="DefaultParagraphFont"/>
    <w:rsid w:val="0063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68614">
      <w:bodyDiv w:val="1"/>
      <w:marLeft w:val="0"/>
      <w:marRight w:val="0"/>
      <w:marTop w:val="0"/>
      <w:marBottom w:val="0"/>
      <w:divBdr>
        <w:top w:val="none" w:sz="0" w:space="0" w:color="auto"/>
        <w:left w:val="none" w:sz="0" w:space="0" w:color="auto"/>
        <w:bottom w:val="none" w:sz="0" w:space="0" w:color="auto"/>
        <w:right w:val="none" w:sz="0" w:space="0" w:color="auto"/>
      </w:divBdr>
      <w:divsChild>
        <w:div w:id="304166224">
          <w:marLeft w:val="0"/>
          <w:marRight w:val="0"/>
          <w:marTop w:val="0"/>
          <w:marBottom w:val="0"/>
          <w:divBdr>
            <w:top w:val="none" w:sz="0" w:space="0" w:color="auto"/>
            <w:left w:val="none" w:sz="0" w:space="0" w:color="auto"/>
            <w:bottom w:val="none" w:sz="0" w:space="0" w:color="auto"/>
            <w:right w:val="none" w:sz="0" w:space="0" w:color="auto"/>
          </w:divBdr>
        </w:div>
        <w:div w:id="294019892">
          <w:marLeft w:val="0"/>
          <w:marRight w:val="0"/>
          <w:marTop w:val="0"/>
          <w:marBottom w:val="0"/>
          <w:divBdr>
            <w:top w:val="none" w:sz="0" w:space="0" w:color="auto"/>
            <w:left w:val="none" w:sz="0" w:space="0" w:color="auto"/>
            <w:bottom w:val="none" w:sz="0" w:space="0" w:color="auto"/>
            <w:right w:val="none" w:sz="0" w:space="0" w:color="auto"/>
          </w:divBdr>
          <w:divsChild>
            <w:div w:id="2081058938">
              <w:marLeft w:val="0"/>
              <w:marRight w:val="0"/>
              <w:marTop w:val="0"/>
              <w:marBottom w:val="0"/>
              <w:divBdr>
                <w:top w:val="none" w:sz="0" w:space="0" w:color="auto"/>
                <w:left w:val="none" w:sz="0" w:space="0" w:color="auto"/>
                <w:bottom w:val="none" w:sz="0" w:space="0" w:color="auto"/>
                <w:right w:val="none" w:sz="0" w:space="0" w:color="auto"/>
              </w:divBdr>
              <w:divsChild>
                <w:div w:id="1241478783">
                  <w:marLeft w:val="0"/>
                  <w:marRight w:val="0"/>
                  <w:marTop w:val="0"/>
                  <w:marBottom w:val="0"/>
                  <w:divBdr>
                    <w:top w:val="none" w:sz="0" w:space="0" w:color="auto"/>
                    <w:left w:val="none" w:sz="0" w:space="0" w:color="auto"/>
                    <w:bottom w:val="none" w:sz="0" w:space="0" w:color="auto"/>
                    <w:right w:val="none" w:sz="0" w:space="0" w:color="auto"/>
                  </w:divBdr>
                </w:div>
                <w:div w:id="282854566">
                  <w:marLeft w:val="0"/>
                  <w:marRight w:val="0"/>
                  <w:marTop w:val="0"/>
                  <w:marBottom w:val="0"/>
                  <w:divBdr>
                    <w:top w:val="none" w:sz="0" w:space="0" w:color="auto"/>
                    <w:left w:val="none" w:sz="0" w:space="0" w:color="auto"/>
                    <w:bottom w:val="none" w:sz="0" w:space="0" w:color="auto"/>
                    <w:right w:val="none" w:sz="0" w:space="0" w:color="auto"/>
                  </w:divBdr>
                </w:div>
                <w:div w:id="1726298876">
                  <w:marLeft w:val="0"/>
                  <w:marRight w:val="0"/>
                  <w:marTop w:val="0"/>
                  <w:marBottom w:val="0"/>
                  <w:divBdr>
                    <w:top w:val="none" w:sz="0" w:space="0" w:color="auto"/>
                    <w:left w:val="none" w:sz="0" w:space="0" w:color="auto"/>
                    <w:bottom w:val="none" w:sz="0" w:space="0" w:color="auto"/>
                    <w:right w:val="none" w:sz="0" w:space="0" w:color="auto"/>
                  </w:divBdr>
                </w:div>
                <w:div w:id="2101949362">
                  <w:marLeft w:val="0"/>
                  <w:marRight w:val="0"/>
                  <w:marTop w:val="0"/>
                  <w:marBottom w:val="0"/>
                  <w:divBdr>
                    <w:top w:val="none" w:sz="0" w:space="0" w:color="auto"/>
                    <w:left w:val="none" w:sz="0" w:space="0" w:color="auto"/>
                    <w:bottom w:val="none" w:sz="0" w:space="0" w:color="auto"/>
                    <w:right w:val="none" w:sz="0" w:space="0" w:color="auto"/>
                  </w:divBdr>
                </w:div>
                <w:div w:id="1072852925">
                  <w:marLeft w:val="0"/>
                  <w:marRight w:val="0"/>
                  <w:marTop w:val="0"/>
                  <w:marBottom w:val="0"/>
                  <w:divBdr>
                    <w:top w:val="none" w:sz="0" w:space="0" w:color="auto"/>
                    <w:left w:val="none" w:sz="0" w:space="0" w:color="auto"/>
                    <w:bottom w:val="none" w:sz="0" w:space="0" w:color="auto"/>
                    <w:right w:val="none" w:sz="0" w:space="0" w:color="auto"/>
                  </w:divBdr>
                </w:div>
                <w:div w:id="1112482683">
                  <w:marLeft w:val="0"/>
                  <w:marRight w:val="0"/>
                  <w:marTop w:val="0"/>
                  <w:marBottom w:val="0"/>
                  <w:divBdr>
                    <w:top w:val="none" w:sz="0" w:space="0" w:color="auto"/>
                    <w:left w:val="none" w:sz="0" w:space="0" w:color="auto"/>
                    <w:bottom w:val="none" w:sz="0" w:space="0" w:color="auto"/>
                    <w:right w:val="none" w:sz="0" w:space="0" w:color="auto"/>
                  </w:divBdr>
                </w:div>
                <w:div w:id="7151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2772</Characters>
  <Application>Microsoft Macintosh Word</Application>
  <DocSecurity>0</DocSecurity>
  <Lines>23</Lines>
  <Paragraphs>6</Paragraphs>
  <ScaleCrop>false</ScaleCrop>
  <Company>MARINE CORPS</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harms</dc:creator>
  <cp:keywords/>
  <dc:description/>
  <cp:lastModifiedBy>andrew harms</cp:lastModifiedBy>
  <cp:revision>1</cp:revision>
  <dcterms:created xsi:type="dcterms:W3CDTF">2016-10-08T20:26:00Z</dcterms:created>
  <dcterms:modified xsi:type="dcterms:W3CDTF">2016-10-08T20:28:00Z</dcterms:modified>
</cp:coreProperties>
</file>