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BAA" w:rsidRDefault="00E76BAA" w:rsidP="00E76BAA">
      <w:pPr>
        <w:spacing w:after="240" w:line="240" w:lineRule="auto"/>
        <w:rPr>
          <w:rFonts w:ascii="Arial" w:eastAsia="Times New Roman" w:hAnsi="Arial" w:cs="Arial"/>
          <w:b/>
          <w:bCs/>
          <w:color w:val="6B2675"/>
          <w:sz w:val="36"/>
          <w:szCs w:val="36"/>
          <w:shd w:val="clear" w:color="auto" w:fill="FFFFFF"/>
          <w:lang w:val="en"/>
        </w:rPr>
      </w:pPr>
      <w:r>
        <w:rPr>
          <w:rFonts w:ascii="Arial" w:eastAsia="Times New Roman" w:hAnsi="Arial" w:cs="Arial"/>
          <w:b/>
          <w:bCs/>
          <w:color w:val="6B2675"/>
          <w:sz w:val="36"/>
          <w:szCs w:val="36"/>
          <w:shd w:val="clear" w:color="auto" w:fill="FFFFFF"/>
          <w:lang w:val="en"/>
        </w:rPr>
        <w:t>Module 4</w:t>
      </w:r>
    </w:p>
    <w:p w:rsidR="00E76BAA" w:rsidRPr="00252113" w:rsidRDefault="00E76BAA" w:rsidP="00E76BAA">
      <w:pPr>
        <w:spacing w:after="240" w:line="240" w:lineRule="auto"/>
        <w:rPr>
          <w:rFonts w:ascii="Arial" w:eastAsia="Times New Roman" w:hAnsi="Arial" w:cs="Arial"/>
          <w:sz w:val="24"/>
          <w:szCs w:val="24"/>
          <w:lang w:val="en"/>
        </w:rPr>
      </w:pPr>
      <w:r w:rsidRPr="00252113">
        <w:rPr>
          <w:rFonts w:ascii="Arial" w:eastAsia="Times New Roman" w:hAnsi="Arial" w:cs="Arial"/>
          <w:b/>
          <w:bCs/>
          <w:color w:val="6B2675"/>
          <w:sz w:val="36"/>
          <w:szCs w:val="36"/>
          <w:shd w:val="clear" w:color="auto" w:fill="FFFFFF"/>
          <w:lang w:val="en"/>
        </w:rPr>
        <w:t>Review for the Midterm &amp; Interest Rates and Bond Valuation</w:t>
      </w:r>
      <w:r w:rsidRPr="00252113">
        <w:rPr>
          <w:rFonts w:ascii="Arial" w:eastAsia="Times New Roman" w:hAnsi="Arial" w:cs="Arial"/>
          <w:sz w:val="24"/>
          <w:szCs w:val="24"/>
          <w:lang w:val="en"/>
        </w:rPr>
        <w:t xml:space="preserve"> </w:t>
      </w:r>
    </w:p>
    <w:p w:rsidR="00E76BAA" w:rsidRPr="00252113" w:rsidRDefault="00E76BAA" w:rsidP="00E76BAA">
      <w:pPr>
        <w:spacing w:after="0" w:line="240" w:lineRule="auto"/>
        <w:rPr>
          <w:rFonts w:ascii="Arial" w:eastAsia="Times New Roman" w:hAnsi="Arial" w:cs="Arial"/>
          <w:sz w:val="24"/>
          <w:szCs w:val="24"/>
          <w:lang w:val="en"/>
        </w:rPr>
      </w:pPr>
      <w:r w:rsidRPr="00252113">
        <w:rPr>
          <w:rFonts w:ascii="Arial" w:eastAsia="Times New Roman" w:hAnsi="Arial" w:cs="Arial"/>
          <w:sz w:val="24"/>
          <w:szCs w:val="24"/>
          <w:lang w:val="en"/>
        </w:rPr>
        <w:pict>
          <v:rect id="_x0000_i1025" style="width:0;height:1.5pt" o:hralign="center" o:hrstd="t" o:hrnoshade="t" o:hr="t" fillcolor="#636" stroked="f"/>
        </w:pict>
      </w:r>
    </w:p>
    <w:p w:rsidR="00E76BAA" w:rsidRPr="00252113" w:rsidRDefault="00E76BAA" w:rsidP="00E76BAA">
      <w:pPr>
        <w:spacing w:after="0" w:line="240" w:lineRule="auto"/>
        <w:rPr>
          <w:rFonts w:ascii="Arial" w:eastAsia="Times New Roman" w:hAnsi="Arial" w:cs="Arial"/>
          <w:sz w:val="24"/>
          <w:szCs w:val="24"/>
          <w:lang w:val="en"/>
        </w:rPr>
      </w:pPr>
      <w:r w:rsidRPr="00252113">
        <w:rPr>
          <w:rFonts w:ascii="Arial" w:eastAsia="Times New Roman" w:hAnsi="Arial" w:cs="Arial"/>
          <w:sz w:val="24"/>
          <w:szCs w:val="24"/>
          <w:lang w:val="en"/>
        </w:rPr>
        <w:br/>
      </w:r>
      <w:r w:rsidRPr="00252113">
        <w:rPr>
          <w:rFonts w:ascii="Arial" w:eastAsia="Times New Roman" w:hAnsi="Arial" w:cs="Arial"/>
          <w:noProof/>
          <w:sz w:val="24"/>
          <w:szCs w:val="24"/>
        </w:rPr>
        <w:drawing>
          <wp:anchor distT="0" distB="0" distL="47625" distR="47625" simplePos="0" relativeHeight="251659264" behindDoc="0" locked="0" layoutInCell="1" allowOverlap="0" wp14:anchorId="2EA97098" wp14:editId="35513842">
            <wp:simplePos x="0" y="0"/>
            <wp:positionH relativeFrom="column">
              <wp:align>left</wp:align>
            </wp:positionH>
            <wp:positionV relativeFrom="line">
              <wp:posOffset>0</wp:posOffset>
            </wp:positionV>
            <wp:extent cx="1590675" cy="1676400"/>
            <wp:effectExtent l="0" t="0" r="9525" b="0"/>
            <wp:wrapSquare wrapText="bothSides"/>
            <wp:docPr id="1" name="Picture 1" descr="A person sitting in office and analyzing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erson sitting in office and analyzing some docume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6BAA" w:rsidRPr="00252113" w:rsidRDefault="00E76BAA" w:rsidP="00E76BAA">
      <w:pPr>
        <w:spacing w:before="100" w:beforeAutospacing="1" w:after="100" w:afterAutospacing="1" w:line="240" w:lineRule="auto"/>
        <w:rPr>
          <w:rFonts w:ascii="Arial" w:eastAsia="Times New Roman" w:hAnsi="Arial" w:cs="Arial"/>
          <w:sz w:val="24"/>
          <w:szCs w:val="24"/>
          <w:lang w:val="en"/>
        </w:rPr>
      </w:pPr>
      <w:r w:rsidRPr="00252113">
        <w:rPr>
          <w:rFonts w:ascii="Arial" w:eastAsia="Times New Roman" w:hAnsi="Arial" w:cs="Arial"/>
          <w:b/>
          <w:bCs/>
          <w:sz w:val="24"/>
          <w:szCs w:val="24"/>
          <w:lang w:val="en"/>
        </w:rPr>
        <w:t>Midterm Review</w:t>
      </w:r>
      <w:r w:rsidRPr="00252113">
        <w:rPr>
          <w:rFonts w:ascii="Arial" w:eastAsia="Times New Roman" w:hAnsi="Arial" w:cs="Arial"/>
          <w:sz w:val="24"/>
          <w:szCs w:val="24"/>
          <w:lang w:val="en"/>
        </w:rPr>
        <w:t xml:space="preserve"> </w:t>
      </w:r>
    </w:p>
    <w:p w:rsidR="00E76BAA" w:rsidRPr="00252113" w:rsidRDefault="00E76BAA" w:rsidP="00E76BAA">
      <w:pPr>
        <w:spacing w:before="100" w:beforeAutospacing="1" w:after="100" w:afterAutospacing="1" w:line="240" w:lineRule="auto"/>
        <w:rPr>
          <w:rFonts w:ascii="Arial" w:eastAsia="Times New Roman" w:hAnsi="Arial" w:cs="Arial"/>
          <w:sz w:val="24"/>
          <w:szCs w:val="24"/>
          <w:lang w:val="en"/>
        </w:rPr>
      </w:pPr>
      <w:r w:rsidRPr="00252113">
        <w:rPr>
          <w:rFonts w:ascii="Arial" w:eastAsia="Times New Roman" w:hAnsi="Arial" w:cs="Arial"/>
          <w:sz w:val="24"/>
          <w:szCs w:val="24"/>
          <w:lang w:val="en"/>
        </w:rPr>
        <w:t xml:space="preserve">The topical coverage for the Midterm examination will include: terms from chapters 1 through 6, understanding the nature of the financial management work scope, able to show the difference between book value and market value and knowing the determinants of a firm's ability to grow. To prepare for the Midterm examination, you will need to thoroughly review the above mentioned concepts. </w:t>
      </w:r>
    </w:p>
    <w:p w:rsidR="00E76BAA" w:rsidRPr="00252113" w:rsidRDefault="00E76BAA" w:rsidP="00E76BAA">
      <w:pPr>
        <w:spacing w:before="100" w:beforeAutospacing="1" w:after="100" w:afterAutospacing="1" w:line="240" w:lineRule="auto"/>
        <w:rPr>
          <w:rFonts w:ascii="Arial" w:eastAsia="Times New Roman" w:hAnsi="Arial" w:cs="Arial"/>
          <w:sz w:val="24"/>
          <w:szCs w:val="24"/>
          <w:lang w:val="en"/>
        </w:rPr>
      </w:pPr>
      <w:r w:rsidRPr="00252113">
        <w:rPr>
          <w:rFonts w:ascii="Arial" w:eastAsia="Times New Roman" w:hAnsi="Arial" w:cs="Arial"/>
          <w:sz w:val="24"/>
          <w:szCs w:val="24"/>
          <w:lang w:val="en"/>
        </w:rPr>
        <w:t xml:space="preserve">The midterm exam comprises multiple choice questions and essays questions covering chapters 1-6. There are two sections to the exam; make sure you complete both sections. You have two hours to complete the exam (both portions) once you begin. </w:t>
      </w:r>
    </w:p>
    <w:p w:rsidR="00E76BAA" w:rsidRPr="00252113" w:rsidRDefault="00E76BAA" w:rsidP="00E76BAA">
      <w:pPr>
        <w:spacing w:before="100" w:beforeAutospacing="1" w:after="100" w:afterAutospacing="1" w:line="240" w:lineRule="auto"/>
        <w:rPr>
          <w:rFonts w:ascii="Arial" w:eastAsia="Times New Roman" w:hAnsi="Arial" w:cs="Arial"/>
          <w:sz w:val="24"/>
          <w:szCs w:val="24"/>
          <w:lang w:val="en"/>
        </w:rPr>
      </w:pPr>
      <w:r w:rsidRPr="00252113">
        <w:rPr>
          <w:rFonts w:ascii="Arial" w:eastAsia="Times New Roman" w:hAnsi="Arial" w:cs="Arial"/>
          <w:b/>
          <w:bCs/>
          <w:sz w:val="24"/>
          <w:szCs w:val="24"/>
          <w:lang w:val="en"/>
        </w:rPr>
        <w:t>Interest Rates and Bond Valuation</w:t>
      </w:r>
      <w:r w:rsidRPr="00252113">
        <w:rPr>
          <w:rFonts w:ascii="Arial" w:eastAsia="Times New Roman" w:hAnsi="Arial" w:cs="Arial"/>
          <w:sz w:val="24"/>
          <w:szCs w:val="24"/>
          <w:lang w:val="en"/>
        </w:rPr>
        <w:t xml:space="preserve"> </w:t>
      </w:r>
    </w:p>
    <w:p w:rsidR="00E76BAA" w:rsidRPr="00252113" w:rsidRDefault="00E76BAA" w:rsidP="00E76BAA">
      <w:pPr>
        <w:spacing w:before="100" w:beforeAutospacing="1" w:after="100" w:afterAutospacing="1" w:line="240" w:lineRule="auto"/>
        <w:rPr>
          <w:rFonts w:ascii="Arial" w:eastAsia="Times New Roman" w:hAnsi="Arial" w:cs="Arial"/>
          <w:sz w:val="24"/>
          <w:szCs w:val="24"/>
          <w:lang w:val="en"/>
        </w:rPr>
      </w:pPr>
      <w:r w:rsidRPr="00252113">
        <w:rPr>
          <w:rFonts w:ascii="Arial" w:eastAsia="Times New Roman" w:hAnsi="Arial" w:cs="Arial"/>
          <w:sz w:val="24"/>
          <w:szCs w:val="24"/>
          <w:lang w:val="en"/>
        </w:rPr>
        <w:t xml:space="preserve">In this module, we will apply the concepts of present value, future value and discounting cash flows to bond valuation and pricing. Bonds are a form of debt that are issued by corporations, the federal government, the municipal governments and foreign governments. Bonds are priced according to these concepts of time value of money and in particular the impact of interest rates as established by the federal government and credit agencies impact bond values greatly. </w:t>
      </w:r>
    </w:p>
    <w:p w:rsidR="00E76BAA" w:rsidRPr="00252113" w:rsidRDefault="00E76BAA" w:rsidP="00E76BAA">
      <w:pPr>
        <w:spacing w:before="100" w:beforeAutospacing="1" w:after="100" w:afterAutospacing="1" w:line="240" w:lineRule="auto"/>
        <w:rPr>
          <w:rFonts w:ascii="Arial" w:eastAsia="Times New Roman" w:hAnsi="Arial" w:cs="Arial"/>
          <w:sz w:val="24"/>
          <w:szCs w:val="24"/>
          <w:lang w:val="en"/>
        </w:rPr>
      </w:pPr>
      <w:r w:rsidRPr="00252113">
        <w:rPr>
          <w:rFonts w:ascii="Arial" w:eastAsia="Times New Roman" w:hAnsi="Arial" w:cs="Arial"/>
          <w:sz w:val="24"/>
          <w:szCs w:val="24"/>
          <w:lang w:val="en"/>
        </w:rPr>
        <w:t xml:space="preserve">More specifically, after studying this topic you should be able to explain: </w:t>
      </w:r>
    </w:p>
    <w:p w:rsidR="00E76BAA" w:rsidRPr="00252113" w:rsidRDefault="00E76BAA" w:rsidP="00E76BAA">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252113">
        <w:rPr>
          <w:rFonts w:ascii="Arial" w:eastAsia="Times New Roman" w:hAnsi="Arial" w:cs="Arial"/>
          <w:sz w:val="24"/>
          <w:szCs w:val="24"/>
          <w:lang w:val="en"/>
        </w:rPr>
        <w:t xml:space="preserve">How a bond is priced. </w:t>
      </w:r>
    </w:p>
    <w:p w:rsidR="00E76BAA" w:rsidRPr="00252113" w:rsidRDefault="00E76BAA" w:rsidP="00E76BAA">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252113">
        <w:rPr>
          <w:rFonts w:ascii="Arial" w:eastAsia="Times New Roman" w:hAnsi="Arial" w:cs="Arial"/>
          <w:sz w:val="24"/>
          <w:szCs w:val="24"/>
          <w:lang w:val="en"/>
        </w:rPr>
        <w:t xml:space="preserve">How to apply the calculations of DCF in pricing bonds. </w:t>
      </w:r>
    </w:p>
    <w:p w:rsidR="00E76BAA" w:rsidRPr="00252113" w:rsidRDefault="00E76BAA" w:rsidP="00E76BAA">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252113">
        <w:rPr>
          <w:rFonts w:ascii="Arial" w:eastAsia="Times New Roman" w:hAnsi="Arial" w:cs="Arial"/>
          <w:sz w:val="24"/>
          <w:szCs w:val="24"/>
          <w:lang w:val="en"/>
        </w:rPr>
        <w:t xml:space="preserve">Learn about interest rates and understand. </w:t>
      </w:r>
    </w:p>
    <w:p w:rsidR="00E76BAA" w:rsidRPr="00252113" w:rsidRDefault="00E76BAA" w:rsidP="00E76BAA">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252113">
        <w:rPr>
          <w:rFonts w:ascii="Arial" w:eastAsia="Times New Roman" w:hAnsi="Arial" w:cs="Arial"/>
          <w:sz w:val="24"/>
          <w:szCs w:val="24"/>
          <w:lang w:val="en"/>
        </w:rPr>
        <w:t xml:space="preserve">Understand the different types of bonds. </w:t>
      </w:r>
    </w:p>
    <w:p w:rsidR="00E76BAA" w:rsidRPr="00252113" w:rsidRDefault="00E76BAA" w:rsidP="00E76BAA">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252113">
        <w:rPr>
          <w:rFonts w:ascii="Arial" w:eastAsia="Times New Roman" w:hAnsi="Arial" w:cs="Arial"/>
          <w:sz w:val="24"/>
          <w:szCs w:val="24"/>
          <w:lang w:val="en"/>
        </w:rPr>
        <w:t xml:space="preserve">Distinguish between a par bond, a discount bond and a premium bond. </w:t>
      </w:r>
    </w:p>
    <w:p w:rsidR="00B86AED" w:rsidRDefault="00B86AED">
      <w:bookmarkStart w:id="0" w:name="_GoBack"/>
      <w:bookmarkEnd w:id="0"/>
    </w:p>
    <w:sectPr w:rsidR="00B86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4577E2"/>
    <w:multiLevelType w:val="multilevel"/>
    <w:tmpl w:val="E3BA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AA"/>
    <w:rsid w:val="00B86AED"/>
    <w:rsid w:val="00E7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5A1BD-9C93-40D5-A599-CD0FD1C4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Timothy M CTR (US)</dc:creator>
  <cp:keywords/>
  <dc:description/>
  <cp:lastModifiedBy>Farrell, Timothy M CTR (US)</cp:lastModifiedBy>
  <cp:revision>1</cp:revision>
  <dcterms:created xsi:type="dcterms:W3CDTF">2016-07-20T12:02:00Z</dcterms:created>
  <dcterms:modified xsi:type="dcterms:W3CDTF">2016-07-20T12:02:00Z</dcterms:modified>
</cp:coreProperties>
</file>