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916F" w14:textId="77777777" w:rsidR="00A3437D" w:rsidRDefault="00A3437D"/>
    <w:p w14:paraId="681112AF" w14:textId="77777777" w:rsidR="00126D8D" w:rsidRPr="00126D8D" w:rsidRDefault="00126D8D" w:rsidP="00126D8D">
      <w:pPr>
        <w:spacing w:after="0" w:line="240" w:lineRule="auto"/>
        <w:jc w:val="center"/>
        <w:rPr>
          <w:b/>
          <w:sz w:val="32"/>
          <w:szCs w:val="32"/>
        </w:rPr>
      </w:pPr>
      <w:r w:rsidRPr="00126D8D">
        <w:rPr>
          <w:b/>
          <w:sz w:val="32"/>
          <w:szCs w:val="32"/>
        </w:rPr>
        <w:t>PSY-362 Social Psychology and Cultural Applications</w:t>
      </w:r>
    </w:p>
    <w:p w14:paraId="7206A8BA" w14:textId="77777777" w:rsidR="00126D8D" w:rsidRDefault="00126D8D" w:rsidP="00126D8D">
      <w:pPr>
        <w:spacing w:after="0" w:line="240" w:lineRule="auto"/>
        <w:jc w:val="center"/>
        <w:rPr>
          <w:sz w:val="32"/>
          <w:szCs w:val="32"/>
        </w:rPr>
      </w:pPr>
      <w:r w:rsidRPr="00126D8D">
        <w:rPr>
          <w:sz w:val="32"/>
          <w:szCs w:val="32"/>
        </w:rPr>
        <w:t>Topic 8-Future Implications for Social Psychology</w:t>
      </w:r>
    </w:p>
    <w:p w14:paraId="0483C9A8" w14:textId="77777777" w:rsidR="00126D8D" w:rsidRDefault="00126D8D" w:rsidP="00126D8D">
      <w:pPr>
        <w:spacing w:after="0" w:line="240" w:lineRule="auto"/>
        <w:jc w:val="center"/>
        <w:rPr>
          <w:sz w:val="32"/>
          <w:szCs w:val="32"/>
        </w:rPr>
      </w:pPr>
    </w:p>
    <w:p w14:paraId="4EDBDCAA" w14:textId="757D49E4" w:rsidR="00126D8D" w:rsidRPr="00126D8D" w:rsidRDefault="00126D8D" w:rsidP="00126D8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Directions: </w:t>
      </w:r>
      <w:r>
        <w:rPr>
          <w:sz w:val="24"/>
          <w:szCs w:val="24"/>
        </w:rPr>
        <w:t>Provided are three prominent researchers/theorists and their respective research. Through scholarly research</w:t>
      </w:r>
      <w:r w:rsidR="009A7AA8">
        <w:rPr>
          <w:sz w:val="24"/>
          <w:szCs w:val="24"/>
        </w:rPr>
        <w:t>,</w:t>
      </w:r>
      <w:r>
        <w:rPr>
          <w:sz w:val="24"/>
          <w:szCs w:val="24"/>
        </w:rPr>
        <w:t xml:space="preserve"> analyze the implications for each of the researched areas in the past and present. </w:t>
      </w:r>
      <w:r w:rsidR="00F51EBE" w:rsidRPr="00F51EBE">
        <w:rPr>
          <w:sz w:val="24"/>
          <w:szCs w:val="24"/>
        </w:rPr>
        <w:t>U</w:t>
      </w:r>
      <w:r w:rsidR="00F51EBE">
        <w:rPr>
          <w:sz w:val="24"/>
          <w:szCs w:val="24"/>
        </w:rPr>
        <w:t xml:space="preserve">se one to two outside resources. </w:t>
      </w:r>
      <w:r>
        <w:rPr>
          <w:sz w:val="24"/>
          <w:szCs w:val="24"/>
        </w:rPr>
        <w:t>Use APA formatted in-text citations</w:t>
      </w:r>
      <w:bookmarkStart w:id="0" w:name="_GoBack"/>
      <w:bookmarkEnd w:id="0"/>
      <w:r w:rsidR="00F51E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list </w:t>
      </w:r>
      <w:r w:rsidR="00F51EBE">
        <w:rPr>
          <w:sz w:val="24"/>
          <w:szCs w:val="24"/>
        </w:rPr>
        <w:t>the</w:t>
      </w:r>
      <w:r>
        <w:rPr>
          <w:sz w:val="24"/>
          <w:szCs w:val="24"/>
        </w:rPr>
        <w:t xml:space="preserve"> references at the bottom of the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070"/>
        <w:gridCol w:w="3330"/>
        <w:gridCol w:w="3330"/>
        <w:gridCol w:w="3330"/>
      </w:tblGrid>
      <w:tr w:rsidR="00126D8D" w:rsidRPr="00126D8D" w14:paraId="22BF7FB8" w14:textId="77777777" w:rsidTr="00126D8D">
        <w:tc>
          <w:tcPr>
            <w:tcW w:w="2268" w:type="dxa"/>
          </w:tcPr>
          <w:p w14:paraId="63AD4D28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Researcher/Theorist</w:t>
            </w:r>
          </w:p>
        </w:tc>
        <w:tc>
          <w:tcPr>
            <w:tcW w:w="2070" w:type="dxa"/>
          </w:tcPr>
          <w:p w14:paraId="0A75EAD9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 xml:space="preserve">Researched area </w:t>
            </w:r>
          </w:p>
        </w:tc>
        <w:tc>
          <w:tcPr>
            <w:tcW w:w="3330" w:type="dxa"/>
          </w:tcPr>
          <w:p w14:paraId="68BF4F36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Summary of research</w:t>
            </w:r>
          </w:p>
        </w:tc>
        <w:tc>
          <w:tcPr>
            <w:tcW w:w="3330" w:type="dxa"/>
          </w:tcPr>
          <w:p w14:paraId="0E4EB64B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What impact did the research have on past and present social psychological ideals?</w:t>
            </w:r>
          </w:p>
        </w:tc>
        <w:tc>
          <w:tcPr>
            <w:tcW w:w="3330" w:type="dxa"/>
          </w:tcPr>
          <w:p w14:paraId="7CB40F65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How did the media, past and present, influence societal behavior?</w:t>
            </w:r>
          </w:p>
        </w:tc>
      </w:tr>
      <w:tr w:rsidR="00126D8D" w14:paraId="0EB3D0CD" w14:textId="77777777" w:rsidTr="00126D8D">
        <w:tc>
          <w:tcPr>
            <w:tcW w:w="2268" w:type="dxa"/>
          </w:tcPr>
          <w:p w14:paraId="27936A38" w14:textId="77777777" w:rsidR="00126D8D" w:rsidRDefault="00126D8D" w:rsidP="007B4A95">
            <w:r>
              <w:t>Stanley Milgram</w:t>
            </w:r>
          </w:p>
        </w:tc>
        <w:tc>
          <w:tcPr>
            <w:tcW w:w="2070" w:type="dxa"/>
          </w:tcPr>
          <w:p w14:paraId="5D5EBEE8" w14:textId="77777777" w:rsidR="00126D8D" w:rsidRDefault="00126D8D" w:rsidP="007B4A95">
            <w:r>
              <w:t>Obedience to Authority Figures (1961)</w:t>
            </w:r>
          </w:p>
        </w:tc>
        <w:tc>
          <w:tcPr>
            <w:tcW w:w="3330" w:type="dxa"/>
          </w:tcPr>
          <w:p w14:paraId="16CEBEF3" w14:textId="77777777" w:rsidR="00126D8D" w:rsidRDefault="00EA3314" w:rsidP="007B4A95">
            <w:r>
              <w:t>By administering electro-shock, Milgram observed and recorded to what extent people would continue an action of harm if encouraged to do so by an authority figure (McLeod, 2007)</w:t>
            </w:r>
          </w:p>
        </w:tc>
        <w:tc>
          <w:tcPr>
            <w:tcW w:w="3330" w:type="dxa"/>
          </w:tcPr>
          <w:p w14:paraId="14801CA3" w14:textId="77777777" w:rsidR="00126D8D" w:rsidRDefault="00126D8D" w:rsidP="007B4A95"/>
        </w:tc>
        <w:tc>
          <w:tcPr>
            <w:tcW w:w="3330" w:type="dxa"/>
          </w:tcPr>
          <w:p w14:paraId="11D76113" w14:textId="77777777" w:rsidR="00126D8D" w:rsidRDefault="00126D8D" w:rsidP="007B4A95"/>
        </w:tc>
      </w:tr>
      <w:tr w:rsidR="00126D8D" w14:paraId="336BD216" w14:textId="77777777" w:rsidTr="00126D8D">
        <w:tc>
          <w:tcPr>
            <w:tcW w:w="2268" w:type="dxa"/>
          </w:tcPr>
          <w:p w14:paraId="235DF31C" w14:textId="77777777" w:rsidR="00126D8D" w:rsidRDefault="00EA3314" w:rsidP="007B4A95">
            <w:r>
              <w:t>Philip</w:t>
            </w:r>
            <w:r w:rsidR="00126D8D">
              <w:t xml:space="preserve"> Zimbardo</w:t>
            </w:r>
          </w:p>
        </w:tc>
        <w:tc>
          <w:tcPr>
            <w:tcW w:w="2070" w:type="dxa"/>
          </w:tcPr>
          <w:p w14:paraId="66443A35" w14:textId="77777777" w:rsidR="00126D8D" w:rsidRDefault="002E5E2E" w:rsidP="007B4A95">
            <w:r>
              <w:t>Aggression-good to evil (1971 &amp; 2007)</w:t>
            </w:r>
          </w:p>
        </w:tc>
        <w:tc>
          <w:tcPr>
            <w:tcW w:w="3330" w:type="dxa"/>
          </w:tcPr>
          <w:p w14:paraId="6279F691" w14:textId="77777777" w:rsidR="00126D8D" w:rsidRDefault="002E5E2E" w:rsidP="007B4A95">
            <w:r>
              <w:t>Zimbardo embarks on explaining, through psychological theories and practices, why seemingly ordinary good people commit despicable acts; in essence they turn evil. This research is the follow up to Zimbardo’s Stanford Prison Experiment. The experiment was supposed to last 2 weeks, but was stopped after 6 days (Zimbardo, 2006)</w:t>
            </w:r>
          </w:p>
        </w:tc>
        <w:tc>
          <w:tcPr>
            <w:tcW w:w="3330" w:type="dxa"/>
          </w:tcPr>
          <w:p w14:paraId="7BF5076B" w14:textId="77777777" w:rsidR="00126D8D" w:rsidRDefault="00126D8D" w:rsidP="007B4A95"/>
        </w:tc>
        <w:tc>
          <w:tcPr>
            <w:tcW w:w="3330" w:type="dxa"/>
          </w:tcPr>
          <w:p w14:paraId="022A7F8C" w14:textId="77777777" w:rsidR="00126D8D" w:rsidRDefault="00126D8D" w:rsidP="007B4A95"/>
        </w:tc>
      </w:tr>
      <w:tr w:rsidR="00126D8D" w14:paraId="45168B5C" w14:textId="77777777" w:rsidTr="00126D8D">
        <w:tc>
          <w:tcPr>
            <w:tcW w:w="2268" w:type="dxa"/>
          </w:tcPr>
          <w:p w14:paraId="4A67609F" w14:textId="77777777" w:rsidR="00126D8D" w:rsidRDefault="002E5E2E" w:rsidP="007B4A95">
            <w:r>
              <w:t>Solomon Asch</w:t>
            </w:r>
          </w:p>
        </w:tc>
        <w:tc>
          <w:tcPr>
            <w:tcW w:w="2070" w:type="dxa"/>
          </w:tcPr>
          <w:p w14:paraId="7AF2A14E" w14:textId="77777777" w:rsidR="00126D8D" w:rsidRDefault="002E5E2E" w:rsidP="007B4A95">
            <w:r>
              <w:t>Conformity (1951)</w:t>
            </w:r>
          </w:p>
        </w:tc>
        <w:tc>
          <w:tcPr>
            <w:tcW w:w="3330" w:type="dxa"/>
          </w:tcPr>
          <w:p w14:paraId="49231C9B" w14:textId="77777777" w:rsidR="00126D8D" w:rsidRDefault="002E5E2E" w:rsidP="007B4A95">
            <w:r>
              <w:t>Asch reconstructs Sherif’s (1935) conformity study to determine if an individual will conform to a group norm if pressure is applied from the majority of the group (McLeod, 2008).</w:t>
            </w:r>
          </w:p>
        </w:tc>
        <w:tc>
          <w:tcPr>
            <w:tcW w:w="3330" w:type="dxa"/>
          </w:tcPr>
          <w:p w14:paraId="630D361B" w14:textId="77777777" w:rsidR="00126D8D" w:rsidRDefault="00126D8D" w:rsidP="007B4A95"/>
        </w:tc>
        <w:tc>
          <w:tcPr>
            <w:tcW w:w="3330" w:type="dxa"/>
          </w:tcPr>
          <w:p w14:paraId="0CE194CF" w14:textId="77777777" w:rsidR="00126D8D" w:rsidRDefault="00126D8D" w:rsidP="007B4A95"/>
        </w:tc>
      </w:tr>
    </w:tbl>
    <w:p w14:paraId="0CED312D" w14:textId="77777777" w:rsidR="00EA3314" w:rsidRDefault="00EA3314">
      <w:r w:rsidRPr="00EA3314">
        <w:rPr>
          <w:b/>
        </w:rPr>
        <w:lastRenderedPageBreak/>
        <w:t>References:</w:t>
      </w:r>
      <w:r>
        <w:t xml:space="preserve"> </w:t>
      </w:r>
    </w:p>
    <w:p w14:paraId="02843C48" w14:textId="77777777" w:rsidR="008D66EF" w:rsidRDefault="008D66EF">
      <w:pPr>
        <w:rPr>
          <w:color w:val="FF0000"/>
        </w:rPr>
      </w:pPr>
      <w:r>
        <w:rPr>
          <w:color w:val="FF0000"/>
        </w:rPr>
        <w:t>McLeod, S. (2008</w:t>
      </w:r>
      <w:r w:rsidRPr="008D66EF">
        <w:rPr>
          <w:color w:val="FF0000"/>
        </w:rPr>
        <w:t xml:space="preserve">). The </w:t>
      </w:r>
      <w:r>
        <w:rPr>
          <w:color w:val="FF0000"/>
        </w:rPr>
        <w:t>Asch</w:t>
      </w:r>
      <w:r w:rsidRPr="008D66EF">
        <w:rPr>
          <w:color w:val="FF0000"/>
        </w:rPr>
        <w:t xml:space="preserve"> experiment. In Simply Psychology.</w:t>
      </w:r>
    </w:p>
    <w:p w14:paraId="26093AB9" w14:textId="77777777" w:rsidR="00126D8D" w:rsidRDefault="002E5E2E">
      <w:pPr>
        <w:rPr>
          <w:color w:val="FF0000"/>
        </w:rPr>
      </w:pPr>
      <w:r>
        <w:rPr>
          <w:color w:val="FF0000"/>
        </w:rPr>
        <w:t>McLeod, S. (2007). The Milgram e</w:t>
      </w:r>
      <w:r w:rsidR="00EA3314" w:rsidRPr="00EA3314">
        <w:rPr>
          <w:color w:val="FF0000"/>
        </w:rPr>
        <w:t xml:space="preserve">xperiment. In </w:t>
      </w:r>
      <w:r w:rsidR="00EA3314" w:rsidRPr="002E5E2E">
        <w:rPr>
          <w:i/>
          <w:color w:val="FF0000"/>
        </w:rPr>
        <w:t>Simply Psychology</w:t>
      </w:r>
      <w:r w:rsidR="00EA3314" w:rsidRPr="00EA3314">
        <w:rPr>
          <w:color w:val="FF0000"/>
        </w:rPr>
        <w:t>.</w:t>
      </w:r>
    </w:p>
    <w:p w14:paraId="4B1E9743" w14:textId="77777777" w:rsidR="002E5E2E" w:rsidRPr="002E5E2E" w:rsidRDefault="002E5E2E">
      <w:pPr>
        <w:rPr>
          <w:color w:val="FF0000"/>
        </w:rPr>
      </w:pPr>
      <w:r>
        <w:rPr>
          <w:color w:val="FF0000"/>
        </w:rPr>
        <w:t xml:space="preserve">Zimbardo, P. (2007). The Lucifer effect. Retrieved from </w:t>
      </w:r>
      <w:r w:rsidRPr="002E5E2E">
        <w:rPr>
          <w:color w:val="FF0000"/>
        </w:rPr>
        <w:t>http://www.lucife</w:t>
      </w:r>
      <w:r w:rsidR="008D66EF">
        <w:rPr>
          <w:color w:val="FF0000"/>
        </w:rPr>
        <w:t>reffect.com</w:t>
      </w:r>
    </w:p>
    <w:sectPr w:rsidR="002E5E2E" w:rsidRPr="002E5E2E" w:rsidSect="00126D8D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9C09D" w14:textId="77777777" w:rsidR="00126D8D" w:rsidRDefault="00126D8D" w:rsidP="00126D8D">
      <w:pPr>
        <w:spacing w:after="0" w:line="240" w:lineRule="auto"/>
      </w:pPr>
      <w:r>
        <w:separator/>
      </w:r>
    </w:p>
  </w:endnote>
  <w:endnote w:type="continuationSeparator" w:id="0">
    <w:p w14:paraId="110090F6" w14:textId="77777777" w:rsidR="00126D8D" w:rsidRDefault="00126D8D" w:rsidP="0012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DBDD4" w14:textId="77777777" w:rsidR="00126D8D" w:rsidRDefault="00126D8D" w:rsidP="00126D8D">
      <w:pPr>
        <w:spacing w:after="0" w:line="240" w:lineRule="auto"/>
      </w:pPr>
      <w:r>
        <w:separator/>
      </w:r>
    </w:p>
  </w:footnote>
  <w:footnote w:type="continuationSeparator" w:id="0">
    <w:p w14:paraId="37332BF6" w14:textId="77777777" w:rsidR="00126D8D" w:rsidRDefault="00126D8D" w:rsidP="0012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4A7FF" w14:textId="77777777" w:rsidR="00126D8D" w:rsidRDefault="00126D8D">
    <w:pPr>
      <w:pStyle w:val="Header"/>
    </w:pPr>
    <w:r>
      <w:rPr>
        <w:noProof/>
      </w:rPr>
      <w:drawing>
        <wp:inline distT="0" distB="0" distL="0" distR="0" wp14:anchorId="34ECC74A" wp14:editId="7AA63413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8D"/>
    <w:rsid w:val="00126D8D"/>
    <w:rsid w:val="002E5E2E"/>
    <w:rsid w:val="008A4AD8"/>
    <w:rsid w:val="008D66EF"/>
    <w:rsid w:val="009A7AA8"/>
    <w:rsid w:val="00A3437D"/>
    <w:rsid w:val="00EA3314"/>
    <w:rsid w:val="00F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548"/>
  <w15:docId w15:val="{6A6989F2-37D5-4D5F-9C34-C8853930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8D"/>
  </w:style>
  <w:style w:type="paragraph" w:styleId="Footer">
    <w:name w:val="footer"/>
    <w:basedOn w:val="Normal"/>
    <w:link w:val="FooterChar"/>
    <w:uiPriority w:val="99"/>
    <w:unhideWhenUsed/>
    <w:rsid w:val="00126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8D"/>
  </w:style>
  <w:style w:type="table" w:styleId="TableGrid">
    <w:name w:val="Table Grid"/>
    <w:basedOn w:val="TableNormal"/>
    <w:uiPriority w:val="59"/>
    <w:rsid w:val="0012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e87d0d685cacc9291396386ecb91362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Resource</TermName>
          <TermId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66</Value>
      <Value>5160</Value>
      <Value>20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PSY-362</TermName>
          <TermId>6b6aa910-3bbd-4356-88b2-7f09f4aa9e10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Draft</TermName>
          <TermId>9b66d326-7f3b-4087-8790-7a8362e8bf10</TermId>
        </TermInfo>
      </Terms>
    </DocumentStatu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1730933-1CBF-4FF6-BFFF-CE698EFB2565}"/>
</file>

<file path=customXml/itemProps2.xml><?xml version="1.0" encoding="utf-8"?>
<ds:datastoreItem xmlns:ds="http://schemas.openxmlformats.org/officeDocument/2006/customXml" ds:itemID="{6F32970E-649C-4763-81F6-C8CF4D623FD0}"/>
</file>

<file path=customXml/itemProps3.xml><?xml version="1.0" encoding="utf-8"?>
<ds:datastoreItem xmlns:ds="http://schemas.openxmlformats.org/officeDocument/2006/customXml" ds:itemID="{6147EDF6-377D-4043-BAA0-6B9779F49780}"/>
</file>

<file path=customXml/itemProps4.xml><?xml version="1.0" encoding="utf-8"?>
<ds:datastoreItem xmlns:ds="http://schemas.openxmlformats.org/officeDocument/2006/customXml" ds:itemID="{2277C8D8-8E29-4AED-8D9B-F043B23E6BB3}"/>
</file>

<file path=customXml/itemProps5.xml><?xml version="1.0" encoding="utf-8"?>
<ds:datastoreItem xmlns:ds="http://schemas.openxmlformats.org/officeDocument/2006/customXml" ds:itemID="{C4D9A654-02C3-4E5C-BC19-F1DCC6DFBBF4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253</Words>
  <Characters>1447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