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4D" w:rsidRDefault="0037514D" w:rsidP="0037514D">
      <w:pPr>
        <w:autoSpaceDE w:val="0"/>
        <w:autoSpaceDN w:val="0"/>
        <w:adjustRightInd w:val="0"/>
        <w:ind w:left="360"/>
        <w:rPr>
          <w:rFonts w:ascii="Arial" w:hAnsi="Arial" w:cs="Arial"/>
          <w:sz w:val="22"/>
          <w:szCs w:val="22"/>
        </w:rPr>
      </w:pPr>
      <w:bookmarkStart w:id="0" w:name="_GoBack"/>
      <w:bookmarkEnd w:id="0"/>
    </w:p>
    <w:p w:rsidR="0037514D" w:rsidRDefault="0037514D" w:rsidP="0037514D">
      <w:pPr>
        <w:autoSpaceDE w:val="0"/>
        <w:autoSpaceDN w:val="0"/>
        <w:adjustRightInd w:val="0"/>
        <w:ind w:left="360"/>
        <w:rPr>
          <w:rFonts w:ascii="Arial" w:hAnsi="Arial" w:cs="Arial"/>
          <w:sz w:val="22"/>
          <w:szCs w:val="22"/>
        </w:rPr>
      </w:pPr>
      <w:r>
        <w:rPr>
          <w:rFonts w:ascii="Arial" w:hAnsi="Arial" w:cs="Arial"/>
          <w:sz w:val="22"/>
          <w:szCs w:val="22"/>
        </w:rPr>
        <w:t>Use Vanguard’s website (</w:t>
      </w:r>
      <w:hyperlink r:id="rId5" w:history="1">
        <w:r w:rsidRPr="00231EAB">
          <w:rPr>
            <w:rStyle w:val="Hyperlink"/>
            <w:rFonts w:ascii="Arial" w:hAnsi="Arial" w:cs="Arial"/>
            <w:sz w:val="22"/>
            <w:szCs w:val="22"/>
          </w:rPr>
          <w:t>www.Vanguard.com</w:t>
        </w:r>
      </w:hyperlink>
      <w:r>
        <w:rPr>
          <w:rFonts w:ascii="Arial" w:hAnsi="Arial" w:cs="Arial"/>
          <w:sz w:val="22"/>
          <w:szCs w:val="22"/>
        </w:rPr>
        <w:t>) to compare and contrast two investments – Vanguard Total Stock Market ETF (ticker VTI) and Fidelity’s Magellan Fund (ticker FMAGX).  Starting from the Home page enter the ticker of one of the two investments in the box that says “</w:t>
      </w:r>
      <w:r w:rsidRPr="005E72AF">
        <w:rPr>
          <w:rFonts w:ascii="Arial" w:hAnsi="Arial" w:cs="Arial"/>
          <w:i/>
          <w:sz w:val="22"/>
          <w:szCs w:val="22"/>
        </w:rPr>
        <w:t>Find a Fund</w:t>
      </w:r>
      <w:r>
        <w:rPr>
          <w:rFonts w:ascii="Arial" w:hAnsi="Arial" w:cs="Arial"/>
          <w:sz w:val="22"/>
          <w:szCs w:val="22"/>
        </w:rPr>
        <w:t xml:space="preserve">” and click </w:t>
      </w:r>
      <w:r w:rsidRPr="005E72AF">
        <w:rPr>
          <w:rFonts w:ascii="Arial" w:hAnsi="Arial" w:cs="Arial"/>
          <w:i/>
          <w:sz w:val="22"/>
          <w:szCs w:val="22"/>
        </w:rPr>
        <w:t>Go</w:t>
      </w:r>
      <w:r>
        <w:rPr>
          <w:rFonts w:ascii="Arial" w:hAnsi="Arial" w:cs="Arial"/>
          <w:i/>
          <w:sz w:val="22"/>
          <w:szCs w:val="22"/>
        </w:rPr>
        <w:t>.</w:t>
      </w:r>
      <w:r>
        <w:rPr>
          <w:rFonts w:ascii="Arial" w:hAnsi="Arial" w:cs="Arial"/>
          <w:sz w:val="22"/>
          <w:szCs w:val="22"/>
        </w:rPr>
        <w:t xml:space="preserve"> When the new page comes up, click on the fund’s name which will bring up information regarding the fund or ETF. At the right of the screen, you should see a button or menu option that says “</w:t>
      </w:r>
      <w:r w:rsidRPr="00D8648A">
        <w:rPr>
          <w:rFonts w:ascii="Arial" w:hAnsi="Arial" w:cs="Arial"/>
          <w:i/>
          <w:sz w:val="22"/>
          <w:szCs w:val="22"/>
        </w:rPr>
        <w:t>Compare</w:t>
      </w:r>
      <w:r>
        <w:rPr>
          <w:rFonts w:ascii="Arial" w:hAnsi="Arial" w:cs="Arial"/>
          <w:i/>
          <w:sz w:val="22"/>
          <w:szCs w:val="22"/>
        </w:rPr>
        <w:t xml:space="preserve"> Funds</w:t>
      </w:r>
      <w:r>
        <w:rPr>
          <w:rFonts w:ascii="Arial" w:hAnsi="Arial" w:cs="Arial"/>
          <w:sz w:val="22"/>
          <w:szCs w:val="22"/>
        </w:rPr>
        <w:t>” or simply “</w:t>
      </w:r>
      <w:r w:rsidRPr="00D8648A">
        <w:rPr>
          <w:rFonts w:ascii="Arial" w:hAnsi="Arial" w:cs="Arial"/>
          <w:i/>
          <w:sz w:val="22"/>
          <w:szCs w:val="22"/>
        </w:rPr>
        <w:t>Compare</w:t>
      </w:r>
      <w:r>
        <w:rPr>
          <w:rFonts w:ascii="Arial" w:hAnsi="Arial" w:cs="Arial"/>
          <w:sz w:val="22"/>
          <w:szCs w:val="22"/>
        </w:rPr>
        <w:t>”   This will allow you to compare side by side information regarding VTI and FMAGX. If you are having problems, feel free to call the Vanguard toll free number and speak with a customer service representative to help you navigate the website.  Once you have the side by side comparison fill in the following table:</w:t>
      </w:r>
    </w:p>
    <w:p w:rsidR="0037514D" w:rsidRDefault="0037514D" w:rsidP="0037514D">
      <w:pPr>
        <w:autoSpaceDE w:val="0"/>
        <w:autoSpaceDN w:val="0"/>
        <w:adjustRightInd w:val="0"/>
        <w:ind w:left="360"/>
        <w:rPr>
          <w:rFonts w:ascii="Arial" w:hAnsi="Arial" w:cs="Arial"/>
          <w:sz w:val="22"/>
          <w:szCs w:val="22"/>
        </w:rPr>
      </w:pPr>
    </w:p>
    <w:p w:rsidR="0037514D" w:rsidRDefault="0037514D" w:rsidP="0037514D">
      <w:pPr>
        <w:autoSpaceDE w:val="0"/>
        <w:autoSpaceDN w:val="0"/>
        <w:adjustRightInd w:val="0"/>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Vanguard Total Stock Market (VTI)</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Fidelity Magellan (FMAGX)</w:t>
            </w: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Category</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Expense Ratio</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b/>
                <w:sz w:val="22"/>
                <w:szCs w:val="22"/>
              </w:rPr>
            </w:pPr>
            <w:r w:rsidRPr="00DF0826">
              <w:rPr>
                <w:rFonts w:ascii="Arial" w:hAnsi="Arial" w:cs="Arial"/>
                <w:b/>
                <w:sz w:val="22"/>
                <w:szCs w:val="22"/>
              </w:rPr>
              <w:t xml:space="preserve">Pretax Performance </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as-of date for performance</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Year to date</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1-year</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3-year</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5-year</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10-year</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10-year After tax return</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b/>
                <w:sz w:val="22"/>
                <w:szCs w:val="22"/>
              </w:rPr>
            </w:pPr>
            <w:r w:rsidRPr="00DF0826">
              <w:rPr>
                <w:rFonts w:ascii="Arial" w:hAnsi="Arial" w:cs="Arial"/>
                <w:b/>
                <w:sz w:val="22"/>
                <w:szCs w:val="22"/>
              </w:rPr>
              <w:t>Top 10 holdings</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Number of Stocks</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Median market cap</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Price / Earnings</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Price / Book</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Earnings Growth Rate</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Foreign holdings</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Turnover rate</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r w:rsidRPr="00DF0826">
              <w:rPr>
                <w:rFonts w:ascii="Arial" w:hAnsi="Arial" w:cs="Arial"/>
                <w:sz w:val="22"/>
                <w:szCs w:val="22"/>
              </w:rPr>
              <w:t>Beta vs. S&amp;P 500</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b/>
                <w:sz w:val="22"/>
                <w:szCs w:val="22"/>
              </w:rPr>
            </w:pPr>
            <w:r w:rsidRPr="00DF0826">
              <w:rPr>
                <w:rFonts w:ascii="Arial" w:hAnsi="Arial" w:cs="Arial"/>
                <w:b/>
                <w:sz w:val="22"/>
                <w:szCs w:val="22"/>
              </w:rPr>
              <w:t>3 Largest Sector Differences</w:t>
            </w: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r w:rsidR="0037514D" w:rsidRPr="00DF0826" w:rsidTr="007B6454">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c>
          <w:tcPr>
            <w:tcW w:w="2952" w:type="dxa"/>
            <w:shd w:val="clear" w:color="auto" w:fill="auto"/>
          </w:tcPr>
          <w:p w:rsidR="0037514D" w:rsidRPr="00DF0826" w:rsidRDefault="0037514D" w:rsidP="007B6454">
            <w:pPr>
              <w:autoSpaceDE w:val="0"/>
              <w:autoSpaceDN w:val="0"/>
              <w:adjustRightInd w:val="0"/>
              <w:rPr>
                <w:rFonts w:ascii="Arial" w:hAnsi="Arial" w:cs="Arial"/>
                <w:sz w:val="22"/>
                <w:szCs w:val="22"/>
              </w:rPr>
            </w:pPr>
          </w:p>
        </w:tc>
      </w:tr>
    </w:tbl>
    <w:p w:rsidR="0037514D" w:rsidRDefault="0037514D" w:rsidP="0037514D">
      <w:pPr>
        <w:autoSpaceDE w:val="0"/>
        <w:autoSpaceDN w:val="0"/>
        <w:adjustRightInd w:val="0"/>
        <w:ind w:left="360"/>
        <w:rPr>
          <w:rFonts w:ascii="Arial" w:hAnsi="Arial" w:cs="Arial"/>
          <w:sz w:val="22"/>
          <w:szCs w:val="22"/>
        </w:rPr>
      </w:pPr>
    </w:p>
    <w:p w:rsidR="0037514D" w:rsidRDefault="0037514D" w:rsidP="0037514D">
      <w:pPr>
        <w:autoSpaceDE w:val="0"/>
        <w:autoSpaceDN w:val="0"/>
        <w:adjustRightInd w:val="0"/>
        <w:ind w:left="360"/>
        <w:rPr>
          <w:rFonts w:ascii="Arial" w:hAnsi="Arial" w:cs="Arial"/>
          <w:sz w:val="22"/>
          <w:szCs w:val="22"/>
        </w:rPr>
      </w:pPr>
      <w:r>
        <w:rPr>
          <w:rFonts w:ascii="Arial" w:hAnsi="Arial" w:cs="Arial"/>
          <w:sz w:val="22"/>
          <w:szCs w:val="22"/>
        </w:rPr>
        <w:t>Use the table above to answer the following:</w:t>
      </w:r>
    </w:p>
    <w:p w:rsidR="0037514D" w:rsidRDefault="0037514D" w:rsidP="0037514D">
      <w:pPr>
        <w:autoSpaceDE w:val="0"/>
        <w:autoSpaceDN w:val="0"/>
        <w:adjustRightInd w:val="0"/>
        <w:ind w:left="360"/>
        <w:rPr>
          <w:rFonts w:ascii="Arial" w:hAnsi="Arial" w:cs="Arial"/>
          <w:sz w:val="22"/>
          <w:szCs w:val="22"/>
        </w:rPr>
      </w:pPr>
    </w:p>
    <w:p w:rsidR="0037514D" w:rsidRDefault="0037514D" w:rsidP="0037514D">
      <w:pPr>
        <w:numPr>
          <w:ilvl w:val="0"/>
          <w:numId w:val="2"/>
        </w:numPr>
        <w:autoSpaceDE w:val="0"/>
        <w:autoSpaceDN w:val="0"/>
        <w:adjustRightInd w:val="0"/>
        <w:rPr>
          <w:rFonts w:ascii="Arial" w:hAnsi="Arial" w:cs="Arial"/>
          <w:sz w:val="22"/>
          <w:szCs w:val="22"/>
        </w:rPr>
      </w:pPr>
      <w:r>
        <w:rPr>
          <w:rFonts w:ascii="Arial" w:hAnsi="Arial" w:cs="Arial"/>
          <w:sz w:val="22"/>
          <w:szCs w:val="22"/>
        </w:rPr>
        <w:t>Comment on the difference in turnover and the impact this would have on pre-tax and after-tax 10-year returns. Which investment is likely to have the greater tax penalty? Why?</w:t>
      </w:r>
    </w:p>
    <w:p w:rsidR="0037514D" w:rsidRDefault="0037514D" w:rsidP="0037514D">
      <w:pPr>
        <w:numPr>
          <w:ilvl w:val="0"/>
          <w:numId w:val="2"/>
        </w:numPr>
        <w:autoSpaceDE w:val="0"/>
        <w:autoSpaceDN w:val="0"/>
        <w:adjustRightInd w:val="0"/>
        <w:rPr>
          <w:rFonts w:ascii="Arial" w:hAnsi="Arial" w:cs="Arial"/>
          <w:sz w:val="22"/>
          <w:szCs w:val="22"/>
        </w:rPr>
      </w:pPr>
      <w:r>
        <w:rPr>
          <w:rFonts w:ascii="Arial" w:hAnsi="Arial" w:cs="Arial"/>
          <w:sz w:val="22"/>
          <w:szCs w:val="22"/>
        </w:rPr>
        <w:t>Compare the performance history of the two.  Note the difference in 10-year returns.  Estimate the 10-year return for each fund gross of the respective fees.  Note the performance shown is net of the expense ratio (e.g. after fees).  Do fees explain the long-term performance differential?</w:t>
      </w:r>
    </w:p>
    <w:p w:rsidR="0037514D" w:rsidRDefault="0037514D" w:rsidP="0037514D">
      <w:pPr>
        <w:numPr>
          <w:ilvl w:val="0"/>
          <w:numId w:val="2"/>
        </w:numPr>
        <w:autoSpaceDE w:val="0"/>
        <w:autoSpaceDN w:val="0"/>
        <w:adjustRightInd w:val="0"/>
        <w:rPr>
          <w:rFonts w:ascii="Arial" w:hAnsi="Arial" w:cs="Arial"/>
          <w:sz w:val="22"/>
          <w:szCs w:val="22"/>
        </w:rPr>
      </w:pPr>
      <w:r>
        <w:rPr>
          <w:rFonts w:ascii="Arial" w:hAnsi="Arial" w:cs="Arial"/>
          <w:sz w:val="22"/>
          <w:szCs w:val="22"/>
        </w:rPr>
        <w:t>Note the comment from Vanguard that states “</w:t>
      </w:r>
      <w:r w:rsidRPr="000C5C27">
        <w:rPr>
          <w:rFonts w:ascii="Arial" w:hAnsi="Arial" w:cs="Arial"/>
          <w:i/>
          <w:sz w:val="22"/>
          <w:szCs w:val="22"/>
        </w:rPr>
        <w:t>The investments or benchmarks you chose fall into different investment categories.  This comparison may not provide complete or accurate results</w:t>
      </w:r>
      <w:r>
        <w:rPr>
          <w:rFonts w:ascii="Arial" w:hAnsi="Arial" w:cs="Arial"/>
          <w:i/>
          <w:sz w:val="22"/>
          <w:szCs w:val="22"/>
        </w:rPr>
        <w:t>”</w:t>
      </w:r>
      <w:r>
        <w:rPr>
          <w:rFonts w:ascii="Arial" w:hAnsi="Arial" w:cs="Arial"/>
          <w:sz w:val="22"/>
          <w:szCs w:val="22"/>
        </w:rPr>
        <w:t>. What do you think Vanguard means buy this? Your answer should consider the fact that Price / Earnings, Price / Book, and Earnings Growth Rate are metrics used to help categorize a stock portfolio as being core, growth or value. Growth portfolios typically have higher Price / Earnings and Price / Book ratios than core portfolios, which in turn have higher ratios than value portfolios. Also consider the sector differences especially in the more growth oriented sectors such as technology, healthcare; and the value oriented sectors such as financials, industrials, energy and utilities. As part your answer, note the stated benchmark for the Magellan Fund and compare its performance to that of VTI over time.</w:t>
      </w:r>
    </w:p>
    <w:p w:rsidR="00587DC4" w:rsidRDefault="00587DC4"/>
    <w:sectPr w:rsidR="00587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92605"/>
    <w:multiLevelType w:val="hybridMultilevel"/>
    <w:tmpl w:val="89F63A2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5D5FE6"/>
    <w:multiLevelType w:val="hybridMultilevel"/>
    <w:tmpl w:val="66CAD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55"/>
    <w:rsid w:val="00216555"/>
    <w:rsid w:val="0037514D"/>
    <w:rsid w:val="0058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BD63A-BEB9-47F6-9C3E-9DF21062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5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ngu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Feda</dc:creator>
  <cp:keywords/>
  <dc:description/>
  <cp:lastModifiedBy>Abdulaziz Feda</cp:lastModifiedBy>
  <cp:revision>2</cp:revision>
  <dcterms:created xsi:type="dcterms:W3CDTF">2016-06-06T06:41:00Z</dcterms:created>
  <dcterms:modified xsi:type="dcterms:W3CDTF">2016-06-06T06:42:00Z</dcterms:modified>
</cp:coreProperties>
</file>