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EDADB" w14:textId="77777777" w:rsidR="00C10115" w:rsidRPr="00157707" w:rsidRDefault="00C10115" w:rsidP="00230A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514EE2F2" w14:textId="77777777" w:rsidR="00C10115" w:rsidRPr="00157707" w:rsidRDefault="00C10115" w:rsidP="00230A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5A653128" w14:textId="77777777" w:rsidR="00C10115" w:rsidRPr="00157707" w:rsidRDefault="00C10115" w:rsidP="00230A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771BC42A" w14:textId="77777777" w:rsidR="00C10115" w:rsidRPr="00157707" w:rsidRDefault="00C10115" w:rsidP="00230A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7F416A07" w14:textId="77777777" w:rsidR="00C10115" w:rsidRPr="00157707" w:rsidRDefault="00C10115" w:rsidP="00230A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0B8D889B" w14:textId="77777777" w:rsidR="00C10115" w:rsidRPr="00157707" w:rsidRDefault="00C10115" w:rsidP="00230A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4FBE51BD" w14:textId="77777777" w:rsidR="00C10115" w:rsidRPr="00157707" w:rsidRDefault="00C10115" w:rsidP="00230A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535298AD" w14:textId="0E9F3CCE" w:rsidR="00C10115" w:rsidRPr="00157707" w:rsidRDefault="006F1204" w:rsidP="00230A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color w:val="000000"/>
        </w:rPr>
      </w:pPr>
      <w:r>
        <w:rPr>
          <w:color w:val="000000"/>
        </w:rPr>
        <w:t>History of Labor Legislation</w:t>
      </w:r>
    </w:p>
    <w:p w14:paraId="22B7F699" w14:textId="2FC38260" w:rsidR="00C10115" w:rsidRPr="00113855" w:rsidRDefault="00113855" w:rsidP="00230A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color w:val="000000"/>
          <w:sz w:val="44"/>
          <w:szCs w:val="44"/>
        </w:rPr>
      </w:pPr>
      <w:r w:rsidRPr="00113855">
        <w:rPr>
          <w:color w:val="000000"/>
          <w:sz w:val="44"/>
          <w:szCs w:val="44"/>
        </w:rPr>
        <w:t>EXAMPLE</w:t>
      </w:r>
    </w:p>
    <w:p w14:paraId="067C0595" w14:textId="696D87C8" w:rsidR="00C10115" w:rsidRPr="00157707" w:rsidRDefault="006F1204" w:rsidP="00230A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color w:val="000000"/>
        </w:rPr>
      </w:pPr>
      <w:r>
        <w:rPr>
          <w:color w:val="000000"/>
        </w:rPr>
        <w:t>BUS372</w:t>
      </w:r>
    </w:p>
    <w:p w14:paraId="099CDF24" w14:textId="401CF27D" w:rsidR="00C10115" w:rsidRPr="00157707" w:rsidRDefault="006F1204" w:rsidP="00230A04">
      <w:pPr>
        <w:jc w:val="center"/>
        <w:rPr>
          <w:i/>
          <w:color w:val="000000"/>
        </w:rPr>
      </w:pPr>
      <w:r>
        <w:rPr>
          <w:color w:val="000000"/>
        </w:rPr>
        <w:t>03 April</w:t>
      </w:r>
      <w:r w:rsidR="00C10115" w:rsidRPr="00157707">
        <w:rPr>
          <w:color w:val="000000"/>
        </w:rPr>
        <w:t xml:space="preserve"> 201</w:t>
      </w:r>
      <w:r w:rsidR="00D167B5">
        <w:rPr>
          <w:color w:val="000000"/>
        </w:rPr>
        <w:t>7</w:t>
      </w:r>
    </w:p>
    <w:p w14:paraId="62293088" w14:textId="77777777" w:rsidR="00C10115" w:rsidRPr="00157707" w:rsidRDefault="00C10115" w:rsidP="00230A04">
      <w:pPr>
        <w:rPr>
          <w:i/>
          <w:color w:val="000000"/>
        </w:rPr>
      </w:pPr>
      <w:r w:rsidRPr="00157707">
        <w:rPr>
          <w:i/>
          <w:color w:val="000000"/>
        </w:rPr>
        <w:br w:type="page"/>
      </w:r>
      <w:bookmarkStart w:id="0" w:name="_GoBack"/>
      <w:bookmarkEnd w:id="0"/>
    </w:p>
    <w:p w14:paraId="0B93D391" w14:textId="4EAF9875" w:rsidR="007D1076" w:rsidRPr="004F2976" w:rsidRDefault="006F1204" w:rsidP="006F12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i/>
          <w:color w:val="000000"/>
        </w:rPr>
      </w:pPr>
      <w:r w:rsidRPr="004F2976">
        <w:rPr>
          <w:i/>
          <w:color w:val="000000"/>
        </w:rPr>
        <w:lastRenderedPageBreak/>
        <w:t>History of Labor Legislation</w:t>
      </w:r>
    </w:p>
    <w:p w14:paraId="0B18BFF2" w14:textId="417175B8" w:rsidR="00DD5EF7" w:rsidRDefault="00CD15E6" w:rsidP="00DD5EF7">
      <w:pPr>
        <w:autoSpaceDE w:val="0"/>
        <w:autoSpaceDN w:val="0"/>
        <w:adjustRightInd w:val="0"/>
        <w:spacing w:line="480" w:lineRule="auto"/>
        <w:ind w:firstLine="720"/>
      </w:pPr>
      <w:r>
        <w:t xml:space="preserve">Prior to the 20th </w:t>
      </w:r>
      <w:r w:rsidR="006F1204">
        <w:t>century, employers found new, and “creative” ways, of taking advantage of the labor force because there was no legislation in place to protect the rights of worker, to prevention harassment by their employers, or to promote fair treatment in a workplace.  This greatly led to conflicts between the employees and the employers.  In fact, it almost seemed, from the employee perspective, that the government was conspiring with companies to keep the workforce at bay; and if one were to take a step back one would notice several judicial rulings and injunctions</w:t>
      </w:r>
      <w:r w:rsidR="00DD5EF7">
        <w:t xml:space="preserve"> that made it difficult for the workforce to stand up for itself in a way that would make a difference.  While this type of underhanded behavior </w:t>
      </w:r>
      <w:r w:rsidR="004F2976">
        <w:t>was</w:t>
      </w:r>
      <w:r w:rsidR="00DD5EF7">
        <w:t xml:space="preserve"> the normal</w:t>
      </w:r>
      <w:r w:rsidR="004F2976">
        <w:t>,</w:t>
      </w:r>
      <w:r w:rsidR="00DD5EF7">
        <w:t xml:space="preserve"> there were efforts afoot, with the </w:t>
      </w:r>
      <w:r w:rsidR="006F1204">
        <w:t>introduction of various labor laws in the in the country</w:t>
      </w:r>
      <w:r w:rsidR="00DD5EF7">
        <w:t xml:space="preserve">, </w:t>
      </w:r>
      <w:r w:rsidR="006F1204">
        <w:t xml:space="preserve">to improve the relationship of the employer and the employees (Bonasia, 2000). </w:t>
      </w:r>
    </w:p>
    <w:p w14:paraId="2D9F2DDF" w14:textId="68069907" w:rsidR="006F1204" w:rsidRDefault="00DD5EF7" w:rsidP="00DD5EF7">
      <w:pPr>
        <w:autoSpaceDE w:val="0"/>
        <w:autoSpaceDN w:val="0"/>
        <w:adjustRightInd w:val="0"/>
        <w:spacing w:line="480" w:lineRule="auto"/>
        <w:ind w:firstLine="720"/>
      </w:pPr>
      <w:r>
        <w:t xml:space="preserve">The Department of Labor (DOL) administers and enforces over 180 laws covering many workplace activities for over 10 </w:t>
      </w:r>
      <w:r w:rsidR="009457A7">
        <w:t>million</w:t>
      </w:r>
      <w:r>
        <w:t xml:space="preserve"> employers an</w:t>
      </w:r>
      <w:r w:rsidR="00880C87">
        <w:t>d 125 million workers (DOL, 2002</w:t>
      </w:r>
      <w:r>
        <w:t>).</w:t>
      </w:r>
      <w:r w:rsidR="009457A7">
        <w:t xml:space="preserve">  Yet, up</w:t>
      </w:r>
      <w:r w:rsidR="00CD15E6">
        <w:t xml:space="preserve"> until around the turn of the 20th c</w:t>
      </w:r>
      <w:r w:rsidR="009457A7">
        <w:t xml:space="preserve">entury, most employers were, in some shape or fashion, engaging in behavior that was detrimental to employees.  For instance, up until just before the turn of the century, employers were entering into “yellow dog contracts” that, </w:t>
      </w:r>
      <w:r w:rsidR="009457A7" w:rsidRPr="009457A7">
        <w:t>as a condition of being hired, the employee agreed not to participate in a union w</w:t>
      </w:r>
      <w:r w:rsidR="009457A7">
        <w:t xml:space="preserve">hile in the employ of the owner (Seaquist, 2015).  This paper will discuss all the </w:t>
      </w:r>
      <w:r w:rsidR="009457A7" w:rsidRPr="009457A7">
        <w:t xml:space="preserve">significant labor legislation </w:t>
      </w:r>
      <w:r w:rsidR="009457A7">
        <w:t xml:space="preserve">that </w:t>
      </w:r>
      <w:r w:rsidR="009457A7" w:rsidRPr="009457A7">
        <w:t>passed in the 20th century</w:t>
      </w:r>
      <w:r w:rsidR="009457A7">
        <w:t xml:space="preserve"> and, if applicable, identify any amendments and how they impacted the overall legislation.</w:t>
      </w:r>
    </w:p>
    <w:p w14:paraId="36A3CC76" w14:textId="77777777" w:rsidR="00880C87" w:rsidRDefault="00880C87" w:rsidP="00DD5EF7">
      <w:pPr>
        <w:autoSpaceDE w:val="0"/>
        <w:autoSpaceDN w:val="0"/>
        <w:adjustRightInd w:val="0"/>
        <w:spacing w:line="480" w:lineRule="auto"/>
        <w:ind w:firstLine="720"/>
      </w:pPr>
    </w:p>
    <w:p w14:paraId="706CCC8D" w14:textId="77777777" w:rsidR="009457A7" w:rsidRDefault="009457A7" w:rsidP="00DD5EF7">
      <w:pPr>
        <w:autoSpaceDE w:val="0"/>
        <w:autoSpaceDN w:val="0"/>
        <w:adjustRightInd w:val="0"/>
        <w:spacing w:line="480" w:lineRule="auto"/>
        <w:ind w:firstLine="720"/>
      </w:pPr>
    </w:p>
    <w:p w14:paraId="18F027EC" w14:textId="77777777" w:rsidR="009457A7" w:rsidRDefault="009457A7" w:rsidP="00DD5EF7">
      <w:pPr>
        <w:autoSpaceDE w:val="0"/>
        <w:autoSpaceDN w:val="0"/>
        <w:adjustRightInd w:val="0"/>
        <w:spacing w:line="480" w:lineRule="auto"/>
        <w:ind w:firstLine="720"/>
      </w:pPr>
    </w:p>
    <w:tbl>
      <w:tblPr>
        <w:tblStyle w:val="TableGrid"/>
        <w:tblW w:w="11250" w:type="dxa"/>
        <w:tblInd w:w="-995" w:type="dxa"/>
        <w:tblLook w:val="04A0" w:firstRow="1" w:lastRow="0" w:firstColumn="1" w:lastColumn="0" w:noHBand="0" w:noVBand="1"/>
      </w:tblPr>
      <w:tblGrid>
        <w:gridCol w:w="2578"/>
        <w:gridCol w:w="719"/>
        <w:gridCol w:w="3377"/>
        <w:gridCol w:w="2163"/>
        <w:gridCol w:w="2413"/>
      </w:tblGrid>
      <w:tr w:rsidR="00E457B7" w14:paraId="2DE023AD" w14:textId="77777777" w:rsidTr="00494C07">
        <w:trPr>
          <w:trHeight w:val="620"/>
        </w:trPr>
        <w:tc>
          <w:tcPr>
            <w:tcW w:w="2578" w:type="dxa"/>
            <w:vAlign w:val="center"/>
          </w:tcPr>
          <w:p w14:paraId="73EDA594" w14:textId="6EFD3250" w:rsidR="00880C87" w:rsidRDefault="00880C87" w:rsidP="00880C87">
            <w:pPr>
              <w:autoSpaceDE w:val="0"/>
              <w:autoSpaceDN w:val="0"/>
              <w:adjustRightInd w:val="0"/>
              <w:spacing w:line="480" w:lineRule="auto"/>
              <w:jc w:val="center"/>
            </w:pPr>
            <w:r>
              <w:lastRenderedPageBreak/>
              <w:t>Name of Law</w:t>
            </w:r>
          </w:p>
        </w:tc>
        <w:tc>
          <w:tcPr>
            <w:tcW w:w="719" w:type="dxa"/>
            <w:vAlign w:val="center"/>
          </w:tcPr>
          <w:p w14:paraId="7EF61167" w14:textId="02801B6E" w:rsidR="00880C87" w:rsidRDefault="00880C87" w:rsidP="003D6A02">
            <w:pPr>
              <w:autoSpaceDE w:val="0"/>
              <w:autoSpaceDN w:val="0"/>
              <w:adjustRightInd w:val="0"/>
              <w:spacing w:line="480" w:lineRule="auto"/>
              <w:jc w:val="center"/>
            </w:pPr>
            <w:r>
              <w:t>Year</w:t>
            </w:r>
          </w:p>
        </w:tc>
        <w:tc>
          <w:tcPr>
            <w:tcW w:w="3377" w:type="dxa"/>
            <w:vAlign w:val="center"/>
          </w:tcPr>
          <w:p w14:paraId="41069953" w14:textId="07A901E3" w:rsidR="00880C87" w:rsidRDefault="00880C87" w:rsidP="00880C87">
            <w:pPr>
              <w:autoSpaceDE w:val="0"/>
              <w:autoSpaceDN w:val="0"/>
              <w:adjustRightInd w:val="0"/>
              <w:spacing w:line="480" w:lineRule="auto"/>
              <w:jc w:val="center"/>
            </w:pPr>
            <w:r>
              <w:t>Description</w:t>
            </w:r>
          </w:p>
        </w:tc>
        <w:tc>
          <w:tcPr>
            <w:tcW w:w="2163" w:type="dxa"/>
            <w:vAlign w:val="center"/>
          </w:tcPr>
          <w:p w14:paraId="3534D733" w14:textId="1E0A3CD4" w:rsidR="00880C87" w:rsidRDefault="00880C87" w:rsidP="00880C87">
            <w:pPr>
              <w:autoSpaceDE w:val="0"/>
              <w:autoSpaceDN w:val="0"/>
              <w:adjustRightInd w:val="0"/>
              <w:spacing w:line="480" w:lineRule="auto"/>
              <w:jc w:val="center"/>
            </w:pPr>
            <w:r>
              <w:t>Amendments</w:t>
            </w:r>
            <w:r w:rsidR="00DB0BC5">
              <w:t>/Failed</w:t>
            </w:r>
          </w:p>
        </w:tc>
        <w:tc>
          <w:tcPr>
            <w:tcW w:w="2413" w:type="dxa"/>
            <w:vAlign w:val="center"/>
          </w:tcPr>
          <w:p w14:paraId="47309565" w14:textId="7F246BFE" w:rsidR="00880C87" w:rsidRDefault="00880C87" w:rsidP="00DB0BC5">
            <w:pPr>
              <w:autoSpaceDE w:val="0"/>
              <w:autoSpaceDN w:val="0"/>
              <w:adjustRightInd w:val="0"/>
              <w:spacing w:line="480" w:lineRule="auto"/>
              <w:jc w:val="center"/>
            </w:pPr>
            <w:r>
              <w:t>Reason</w:t>
            </w:r>
            <w:r w:rsidR="00DB0BC5">
              <w:t>(s)</w:t>
            </w:r>
          </w:p>
        </w:tc>
      </w:tr>
      <w:tr w:rsidR="00E457B7" w14:paraId="6301F731" w14:textId="77777777" w:rsidTr="00494C07">
        <w:tc>
          <w:tcPr>
            <w:tcW w:w="2578" w:type="dxa"/>
            <w:vAlign w:val="center"/>
          </w:tcPr>
          <w:p w14:paraId="0AC5717A" w14:textId="1D325EA2" w:rsidR="00880C87" w:rsidRDefault="003D6A02" w:rsidP="009457A7">
            <w:pPr>
              <w:autoSpaceDE w:val="0"/>
              <w:autoSpaceDN w:val="0"/>
              <w:adjustRightInd w:val="0"/>
              <w:jc w:val="center"/>
            </w:pPr>
            <w:r>
              <w:t>Clayton Antitrust Act</w:t>
            </w:r>
          </w:p>
        </w:tc>
        <w:tc>
          <w:tcPr>
            <w:tcW w:w="719" w:type="dxa"/>
            <w:vAlign w:val="center"/>
          </w:tcPr>
          <w:p w14:paraId="539F0FB0" w14:textId="3065238D" w:rsidR="00880C87" w:rsidRDefault="003D6A02" w:rsidP="003D6A02">
            <w:pPr>
              <w:autoSpaceDE w:val="0"/>
              <w:autoSpaceDN w:val="0"/>
              <w:adjustRightInd w:val="0"/>
              <w:spacing w:line="480" w:lineRule="auto"/>
              <w:jc w:val="center"/>
            </w:pPr>
            <w:r>
              <w:t>1914</w:t>
            </w:r>
          </w:p>
        </w:tc>
        <w:tc>
          <w:tcPr>
            <w:tcW w:w="3377" w:type="dxa"/>
            <w:vAlign w:val="center"/>
          </w:tcPr>
          <w:p w14:paraId="1829BFE3" w14:textId="69D349D2" w:rsidR="00880C87" w:rsidRDefault="00D244E2" w:rsidP="00494C07">
            <w:pPr>
              <w:autoSpaceDE w:val="0"/>
              <w:autoSpaceDN w:val="0"/>
              <w:adjustRightInd w:val="0"/>
            </w:pPr>
            <w:r>
              <w:t xml:space="preserve">Anit-trust law was specifically designed to target monopolies and other unfair, or nefarious, business practices; however, in the early part of the 20th century, these laws were used to thwart union activity.  There was so much protest to this type of activity that Congress passed this amendment to the Sherman Act specifically </w:t>
            </w:r>
            <w:r w:rsidRPr="00D244E2">
              <w:t>excluding labor unions from being dee</w:t>
            </w:r>
            <w:r>
              <w:t xml:space="preserve">med a combination or conspiracy (Sequist, 2015).  </w:t>
            </w:r>
          </w:p>
        </w:tc>
        <w:tc>
          <w:tcPr>
            <w:tcW w:w="2163" w:type="dxa"/>
          </w:tcPr>
          <w:p w14:paraId="14B31EFD" w14:textId="4A0557FC" w:rsidR="00880C87" w:rsidRPr="00D042C4" w:rsidRDefault="00D042C4" w:rsidP="00494C07">
            <w:pPr>
              <w:autoSpaceDE w:val="0"/>
              <w:autoSpaceDN w:val="0"/>
              <w:adjustRightInd w:val="0"/>
            </w:pPr>
            <w:r>
              <w:t>This act, while initially thought to be a big win for the labor unions, was deemed a quick failure.</w:t>
            </w:r>
          </w:p>
        </w:tc>
        <w:tc>
          <w:tcPr>
            <w:tcW w:w="2413" w:type="dxa"/>
          </w:tcPr>
          <w:p w14:paraId="36B89A3D" w14:textId="4187BA1D" w:rsidR="00880C87" w:rsidRDefault="00D042C4" w:rsidP="00494C07">
            <w:pPr>
              <w:autoSpaceDE w:val="0"/>
              <w:autoSpaceDN w:val="0"/>
              <w:adjustRightInd w:val="0"/>
            </w:pPr>
            <w:r>
              <w:t xml:space="preserve">It was ruled in </w:t>
            </w:r>
            <w:r w:rsidRPr="00D042C4">
              <w:rPr>
                <w:i/>
              </w:rPr>
              <w:t>Duplex Printing Press Co. v. Deering</w:t>
            </w:r>
            <w:r>
              <w:rPr>
                <w:i/>
              </w:rPr>
              <w:t xml:space="preserve"> </w:t>
            </w:r>
            <w:r>
              <w:t>that secondary boycotts were not covered under this act.  Moreover, this judgement made it legal for companies to sue unions who participated in such activity.</w:t>
            </w:r>
          </w:p>
        </w:tc>
      </w:tr>
      <w:tr w:rsidR="000B5FB3" w14:paraId="5A6C3D97" w14:textId="77777777" w:rsidTr="006B44DC">
        <w:tc>
          <w:tcPr>
            <w:tcW w:w="2578" w:type="dxa"/>
            <w:vAlign w:val="center"/>
          </w:tcPr>
          <w:p w14:paraId="53BF8374" w14:textId="05D7674F" w:rsidR="00F75D7F" w:rsidRDefault="00556F59" w:rsidP="009457A7">
            <w:pPr>
              <w:autoSpaceDE w:val="0"/>
              <w:autoSpaceDN w:val="0"/>
              <w:adjustRightInd w:val="0"/>
              <w:jc w:val="center"/>
            </w:pPr>
            <w:r>
              <w:t>Federal Possession &amp; Control Act</w:t>
            </w:r>
          </w:p>
        </w:tc>
        <w:tc>
          <w:tcPr>
            <w:tcW w:w="719" w:type="dxa"/>
            <w:vAlign w:val="center"/>
          </w:tcPr>
          <w:p w14:paraId="7522D66C" w14:textId="33A2E9C9" w:rsidR="00F75D7F" w:rsidRDefault="00556F59" w:rsidP="003D6A02">
            <w:pPr>
              <w:autoSpaceDE w:val="0"/>
              <w:autoSpaceDN w:val="0"/>
              <w:adjustRightInd w:val="0"/>
              <w:spacing w:line="480" w:lineRule="auto"/>
              <w:jc w:val="center"/>
            </w:pPr>
            <w:r>
              <w:t>1916</w:t>
            </w:r>
          </w:p>
        </w:tc>
        <w:tc>
          <w:tcPr>
            <w:tcW w:w="3377" w:type="dxa"/>
          </w:tcPr>
          <w:p w14:paraId="5488F2E8" w14:textId="76CB453A" w:rsidR="00F75D7F" w:rsidRDefault="00494C07" w:rsidP="00494C07">
            <w:pPr>
              <w:autoSpaceDE w:val="0"/>
              <w:autoSpaceDN w:val="0"/>
              <w:adjustRightInd w:val="0"/>
            </w:pPr>
            <w:r>
              <w:t>Fear that a widespread strike could shut down the number one mode of transportation/shipping in the country – which would cripple the economy during WWI.  In response to that fear, this act nationalized the railroad systems.  If individuals walked off the job, the military could be used to replace “striking workers” therefore ensuring their continued operation.</w:t>
            </w:r>
          </w:p>
        </w:tc>
        <w:tc>
          <w:tcPr>
            <w:tcW w:w="2163" w:type="dxa"/>
          </w:tcPr>
          <w:p w14:paraId="24DB89EC" w14:textId="4DA761BE" w:rsidR="00F75D7F" w:rsidRDefault="006B44DC" w:rsidP="006B44DC">
            <w:pPr>
              <w:autoSpaceDE w:val="0"/>
              <w:autoSpaceDN w:val="0"/>
              <w:adjustRightInd w:val="0"/>
            </w:pPr>
            <w:r>
              <w:t xml:space="preserve">Ended </w:t>
            </w:r>
          </w:p>
        </w:tc>
        <w:tc>
          <w:tcPr>
            <w:tcW w:w="2413" w:type="dxa"/>
          </w:tcPr>
          <w:p w14:paraId="1546DBD5" w14:textId="7D5BA889" w:rsidR="00F75D7F" w:rsidRDefault="006B44DC" w:rsidP="006B44DC">
            <w:pPr>
              <w:autoSpaceDE w:val="0"/>
              <w:autoSpaceDN w:val="0"/>
              <w:adjustRightInd w:val="0"/>
            </w:pPr>
            <w:r>
              <w:t>The end of the WWI brought about the end of the national security threat of a railroad strike.</w:t>
            </w:r>
          </w:p>
        </w:tc>
      </w:tr>
      <w:tr w:rsidR="006B44DC" w14:paraId="1E2C6E6D" w14:textId="77777777" w:rsidTr="00494C07">
        <w:tc>
          <w:tcPr>
            <w:tcW w:w="2578" w:type="dxa"/>
            <w:vAlign w:val="center"/>
          </w:tcPr>
          <w:p w14:paraId="41AF8102" w14:textId="12308716" w:rsidR="006B44DC" w:rsidRDefault="006B44DC" w:rsidP="009457A7">
            <w:pPr>
              <w:autoSpaceDE w:val="0"/>
              <w:autoSpaceDN w:val="0"/>
              <w:adjustRightInd w:val="0"/>
              <w:jc w:val="center"/>
            </w:pPr>
            <w:r>
              <w:t>Transportation Act</w:t>
            </w:r>
          </w:p>
        </w:tc>
        <w:tc>
          <w:tcPr>
            <w:tcW w:w="719" w:type="dxa"/>
            <w:vAlign w:val="center"/>
          </w:tcPr>
          <w:p w14:paraId="04F500CC" w14:textId="6ABB0992" w:rsidR="006B44DC" w:rsidRDefault="006B44DC" w:rsidP="003D6A02">
            <w:pPr>
              <w:autoSpaceDE w:val="0"/>
              <w:autoSpaceDN w:val="0"/>
              <w:adjustRightInd w:val="0"/>
              <w:spacing w:line="480" w:lineRule="auto"/>
              <w:jc w:val="center"/>
            </w:pPr>
            <w:r>
              <w:t>1920</w:t>
            </w:r>
          </w:p>
        </w:tc>
        <w:tc>
          <w:tcPr>
            <w:tcW w:w="3377" w:type="dxa"/>
          </w:tcPr>
          <w:p w14:paraId="462C4822" w14:textId="1BE79FBE" w:rsidR="006B44DC" w:rsidRDefault="006B44DC" w:rsidP="006B44DC">
            <w:pPr>
              <w:autoSpaceDE w:val="0"/>
              <w:autoSpaceDN w:val="0"/>
              <w:adjustRightInd w:val="0"/>
            </w:pPr>
            <w:r>
              <w:t>C</w:t>
            </w:r>
            <w:r w:rsidRPr="006B44DC">
              <w:t xml:space="preserve">reated a Railroad Labor Board </w:t>
            </w:r>
            <w:r>
              <w:t>to settle disputes between workers and employers in the railroad market.</w:t>
            </w:r>
          </w:p>
        </w:tc>
        <w:tc>
          <w:tcPr>
            <w:tcW w:w="2163" w:type="dxa"/>
          </w:tcPr>
          <w:p w14:paraId="2BD818C5" w14:textId="6C67874B" w:rsidR="006B44DC" w:rsidRDefault="006B44DC" w:rsidP="00494C07">
            <w:pPr>
              <w:autoSpaceDE w:val="0"/>
              <w:autoSpaceDN w:val="0"/>
              <w:adjustRightInd w:val="0"/>
            </w:pPr>
            <w:r>
              <w:t xml:space="preserve"> Railway Labor Act</w:t>
            </w:r>
          </w:p>
        </w:tc>
        <w:tc>
          <w:tcPr>
            <w:tcW w:w="2413" w:type="dxa"/>
          </w:tcPr>
          <w:p w14:paraId="1C3AFDEF" w14:textId="6DCA0984" w:rsidR="006B44DC" w:rsidRDefault="006B44DC" w:rsidP="006B44DC">
            <w:pPr>
              <w:autoSpaceDE w:val="0"/>
              <w:autoSpaceDN w:val="0"/>
              <w:adjustRightInd w:val="0"/>
            </w:pPr>
            <w:r>
              <w:t>Needed broader regulation in this industry as it related to labor relations</w:t>
            </w:r>
          </w:p>
        </w:tc>
      </w:tr>
      <w:tr w:rsidR="006B44DC" w14:paraId="7EFA93CC" w14:textId="77777777" w:rsidTr="00494C07">
        <w:tc>
          <w:tcPr>
            <w:tcW w:w="2578" w:type="dxa"/>
            <w:vAlign w:val="center"/>
          </w:tcPr>
          <w:p w14:paraId="5C95AE78" w14:textId="6E04FE41" w:rsidR="006B44DC" w:rsidRDefault="006B44DC" w:rsidP="009457A7">
            <w:pPr>
              <w:autoSpaceDE w:val="0"/>
              <w:autoSpaceDN w:val="0"/>
              <w:adjustRightInd w:val="0"/>
              <w:jc w:val="center"/>
            </w:pPr>
            <w:r>
              <w:t>Railway Labor Act</w:t>
            </w:r>
          </w:p>
        </w:tc>
        <w:tc>
          <w:tcPr>
            <w:tcW w:w="719" w:type="dxa"/>
            <w:vAlign w:val="center"/>
          </w:tcPr>
          <w:p w14:paraId="755321AF" w14:textId="509AFB46" w:rsidR="006B44DC" w:rsidRDefault="006B44DC" w:rsidP="003D6A02">
            <w:pPr>
              <w:autoSpaceDE w:val="0"/>
              <w:autoSpaceDN w:val="0"/>
              <w:adjustRightInd w:val="0"/>
              <w:spacing w:line="480" w:lineRule="auto"/>
              <w:jc w:val="center"/>
            </w:pPr>
            <w:r>
              <w:t>1926</w:t>
            </w:r>
          </w:p>
        </w:tc>
        <w:tc>
          <w:tcPr>
            <w:tcW w:w="3377" w:type="dxa"/>
          </w:tcPr>
          <w:p w14:paraId="11402C97" w14:textId="64A6896A" w:rsidR="006B44DC" w:rsidRDefault="006B44DC" w:rsidP="00494C07">
            <w:pPr>
              <w:autoSpaceDE w:val="0"/>
              <w:autoSpaceDN w:val="0"/>
              <w:adjustRightInd w:val="0"/>
            </w:pPr>
            <w:r>
              <w:t>Governs labor relations for railway and airline industries.</w:t>
            </w:r>
          </w:p>
        </w:tc>
        <w:tc>
          <w:tcPr>
            <w:tcW w:w="2163" w:type="dxa"/>
          </w:tcPr>
          <w:p w14:paraId="65FB53A0" w14:textId="77777777" w:rsidR="006B44DC" w:rsidRDefault="006B44DC" w:rsidP="00494C07">
            <w:pPr>
              <w:autoSpaceDE w:val="0"/>
              <w:autoSpaceDN w:val="0"/>
              <w:adjustRightInd w:val="0"/>
            </w:pPr>
          </w:p>
        </w:tc>
        <w:tc>
          <w:tcPr>
            <w:tcW w:w="2413" w:type="dxa"/>
          </w:tcPr>
          <w:p w14:paraId="75C418DC" w14:textId="77777777" w:rsidR="006B44DC" w:rsidRDefault="006B44DC" w:rsidP="00494C07">
            <w:pPr>
              <w:autoSpaceDE w:val="0"/>
              <w:autoSpaceDN w:val="0"/>
              <w:adjustRightInd w:val="0"/>
            </w:pPr>
          </w:p>
        </w:tc>
      </w:tr>
      <w:tr w:rsidR="006B44DC" w14:paraId="688405DE" w14:textId="77777777" w:rsidTr="00494C07">
        <w:tc>
          <w:tcPr>
            <w:tcW w:w="2578" w:type="dxa"/>
            <w:vAlign w:val="center"/>
          </w:tcPr>
          <w:p w14:paraId="164CB678" w14:textId="2BE212DB" w:rsidR="006B44DC" w:rsidRDefault="006B44DC" w:rsidP="009457A7">
            <w:pPr>
              <w:autoSpaceDE w:val="0"/>
              <w:autoSpaceDN w:val="0"/>
              <w:adjustRightInd w:val="0"/>
              <w:jc w:val="center"/>
            </w:pPr>
            <w:r>
              <w:t>Norris LaGuardia Act</w:t>
            </w:r>
          </w:p>
        </w:tc>
        <w:tc>
          <w:tcPr>
            <w:tcW w:w="719" w:type="dxa"/>
            <w:vAlign w:val="center"/>
          </w:tcPr>
          <w:p w14:paraId="1800DE75" w14:textId="1AFA230B" w:rsidR="006B44DC" w:rsidRDefault="006B44DC" w:rsidP="003D6A02">
            <w:pPr>
              <w:autoSpaceDE w:val="0"/>
              <w:autoSpaceDN w:val="0"/>
              <w:adjustRightInd w:val="0"/>
              <w:spacing w:line="480" w:lineRule="auto"/>
              <w:jc w:val="center"/>
            </w:pPr>
            <w:r>
              <w:t>1932</w:t>
            </w:r>
          </w:p>
        </w:tc>
        <w:tc>
          <w:tcPr>
            <w:tcW w:w="3377" w:type="dxa"/>
          </w:tcPr>
          <w:p w14:paraId="7462DF34" w14:textId="1D4D75FA" w:rsidR="006B44DC" w:rsidRDefault="006027F4" w:rsidP="006027F4">
            <w:pPr>
              <w:autoSpaceDE w:val="0"/>
              <w:autoSpaceDN w:val="0"/>
              <w:adjustRightInd w:val="0"/>
            </w:pPr>
            <w:r>
              <w:t xml:space="preserve">This was probably the most significant and wide-sweeping labor legislation in history as it made it unlawful for federal courts to issue injunctions without notifying the labor unions and explicit granted workers the right to form labor organizations, strike, and it allowed secondary boycotts.  Furthermore, this law outlawed “yellow-dog contracts.”  </w:t>
            </w:r>
          </w:p>
        </w:tc>
        <w:tc>
          <w:tcPr>
            <w:tcW w:w="2163" w:type="dxa"/>
          </w:tcPr>
          <w:p w14:paraId="1019D0A5" w14:textId="6E292CF7" w:rsidR="006B44DC" w:rsidRDefault="006027F4" w:rsidP="00494C07">
            <w:pPr>
              <w:autoSpaceDE w:val="0"/>
              <w:autoSpaceDN w:val="0"/>
              <w:adjustRightInd w:val="0"/>
            </w:pPr>
            <w:r>
              <w:t>New Negro Alliance v. Sanitary Grocery Co (1938)</w:t>
            </w:r>
          </w:p>
        </w:tc>
        <w:tc>
          <w:tcPr>
            <w:tcW w:w="2413" w:type="dxa"/>
          </w:tcPr>
          <w:p w14:paraId="4965FC11" w14:textId="3D3125F2" w:rsidR="006B44DC" w:rsidRDefault="006027F4" w:rsidP="00494C07">
            <w:pPr>
              <w:autoSpaceDE w:val="0"/>
              <w:autoSpaceDN w:val="0"/>
              <w:adjustRightInd w:val="0"/>
            </w:pPr>
            <w:r>
              <w:t xml:space="preserve">Expanded the law beyond employers/employee to “persons interested in a labor dispute.”  </w:t>
            </w:r>
            <w:r w:rsidRPr="006027F4">
              <w:t>(New Negro Alliance v. Sanitary Grocery Co., 1938)</w:t>
            </w:r>
          </w:p>
        </w:tc>
      </w:tr>
      <w:tr w:rsidR="00E457B7" w14:paraId="6A35C49C" w14:textId="77777777" w:rsidTr="00494C07">
        <w:tc>
          <w:tcPr>
            <w:tcW w:w="2578" w:type="dxa"/>
            <w:vAlign w:val="center"/>
          </w:tcPr>
          <w:p w14:paraId="66DD45B3" w14:textId="5D85C4B7" w:rsidR="006B44DC" w:rsidRDefault="006B44DC" w:rsidP="009457A7">
            <w:pPr>
              <w:autoSpaceDE w:val="0"/>
              <w:autoSpaceDN w:val="0"/>
              <w:adjustRightInd w:val="0"/>
              <w:jc w:val="center"/>
            </w:pPr>
            <w:r>
              <w:lastRenderedPageBreak/>
              <w:t>National Industrial Recover Act (NIRA)</w:t>
            </w:r>
          </w:p>
        </w:tc>
        <w:tc>
          <w:tcPr>
            <w:tcW w:w="719" w:type="dxa"/>
            <w:vAlign w:val="center"/>
          </w:tcPr>
          <w:p w14:paraId="51C7CCDA" w14:textId="2A716205" w:rsidR="006B44DC" w:rsidRDefault="006B44DC" w:rsidP="003D6A02">
            <w:pPr>
              <w:autoSpaceDE w:val="0"/>
              <w:autoSpaceDN w:val="0"/>
              <w:adjustRightInd w:val="0"/>
              <w:spacing w:line="480" w:lineRule="auto"/>
              <w:jc w:val="center"/>
            </w:pPr>
            <w:r>
              <w:t>1933</w:t>
            </w:r>
          </w:p>
        </w:tc>
        <w:tc>
          <w:tcPr>
            <w:tcW w:w="3377" w:type="dxa"/>
          </w:tcPr>
          <w:p w14:paraId="790AA574" w14:textId="1D677214" w:rsidR="006B44DC" w:rsidRDefault="006B44DC" w:rsidP="00494C07">
            <w:pPr>
              <w:autoSpaceDE w:val="0"/>
              <w:autoSpaceDN w:val="0"/>
              <w:adjustRightInd w:val="0"/>
            </w:pPr>
            <w:r>
              <w:t>Part of FDR’s New Deal, this is pieces of legislation is significant because it was the first of its kind that gave individuals the right to organize and bargain collectively, free from interference.</w:t>
            </w:r>
          </w:p>
        </w:tc>
        <w:tc>
          <w:tcPr>
            <w:tcW w:w="2163" w:type="dxa"/>
          </w:tcPr>
          <w:p w14:paraId="287A4050" w14:textId="4C204761" w:rsidR="006B44DC" w:rsidRDefault="006B44DC" w:rsidP="00494C07">
            <w:pPr>
              <w:autoSpaceDE w:val="0"/>
              <w:autoSpaceDN w:val="0"/>
              <w:adjustRightInd w:val="0"/>
            </w:pPr>
            <w:r>
              <w:t>NIRA was stuck down three weeks prior to its expiration date by a Supreme Court ruling; ultimately failing under its own weight.</w:t>
            </w:r>
          </w:p>
        </w:tc>
        <w:tc>
          <w:tcPr>
            <w:tcW w:w="2413" w:type="dxa"/>
          </w:tcPr>
          <w:p w14:paraId="75020990" w14:textId="212059A0" w:rsidR="006B44DC" w:rsidRDefault="006B44DC" w:rsidP="00494C07">
            <w:pPr>
              <w:autoSpaceDE w:val="0"/>
              <w:autoSpaceDN w:val="0"/>
              <w:adjustRightInd w:val="0"/>
            </w:pPr>
            <w:r>
              <w:t xml:space="preserve">Supreme Course found deemed it unconstitutional as it was deemed government overreach </w:t>
            </w:r>
          </w:p>
        </w:tc>
      </w:tr>
      <w:tr w:rsidR="000B5FB3" w14:paraId="7082E29C" w14:textId="77777777" w:rsidTr="006B44DC">
        <w:trPr>
          <w:trHeight w:val="854"/>
        </w:trPr>
        <w:tc>
          <w:tcPr>
            <w:tcW w:w="2578" w:type="dxa"/>
            <w:vAlign w:val="center"/>
          </w:tcPr>
          <w:p w14:paraId="4EE9C980" w14:textId="1EB793DC" w:rsidR="006B44DC" w:rsidRDefault="006B44DC" w:rsidP="009457A7">
            <w:pPr>
              <w:autoSpaceDE w:val="0"/>
              <w:autoSpaceDN w:val="0"/>
              <w:adjustRightInd w:val="0"/>
              <w:jc w:val="center"/>
            </w:pPr>
            <w:r>
              <w:t>National Labor Relations Act         (</w:t>
            </w:r>
            <w:r w:rsidR="00EF563C">
              <w:t>NLRA/</w:t>
            </w:r>
            <w:r>
              <w:t>Wagner Act)</w:t>
            </w:r>
          </w:p>
        </w:tc>
        <w:tc>
          <w:tcPr>
            <w:tcW w:w="719" w:type="dxa"/>
            <w:vAlign w:val="center"/>
          </w:tcPr>
          <w:p w14:paraId="79E40D7C" w14:textId="5404E5F2" w:rsidR="006B44DC" w:rsidRDefault="006B44DC" w:rsidP="003D6A02">
            <w:pPr>
              <w:autoSpaceDE w:val="0"/>
              <w:autoSpaceDN w:val="0"/>
              <w:adjustRightInd w:val="0"/>
              <w:spacing w:line="480" w:lineRule="auto"/>
              <w:jc w:val="center"/>
            </w:pPr>
            <w:r>
              <w:t>1935</w:t>
            </w:r>
          </w:p>
        </w:tc>
        <w:tc>
          <w:tcPr>
            <w:tcW w:w="3377" w:type="dxa"/>
          </w:tcPr>
          <w:p w14:paraId="3CE65405" w14:textId="2A212DCE" w:rsidR="006B44DC" w:rsidRDefault="006B44DC" w:rsidP="00EF563C">
            <w:pPr>
              <w:autoSpaceDE w:val="0"/>
              <w:autoSpaceDN w:val="0"/>
              <w:adjustRightInd w:val="0"/>
            </w:pPr>
            <w:r>
              <w:t xml:space="preserve">The act was a response to the ongoing, and escalating, labor violence that was taking place in the 1930s.  </w:t>
            </w:r>
            <w:r w:rsidR="00EF563C">
              <w:t>The NLRA guarantees the right of private-sector employees to form unions and collectively bargain while making it illegal to discriminate against workers for participating in union activity.  Additionally, this law makes it illegal for unions to boycott negotiations with unions.</w:t>
            </w:r>
          </w:p>
        </w:tc>
        <w:tc>
          <w:tcPr>
            <w:tcW w:w="2163" w:type="dxa"/>
          </w:tcPr>
          <w:p w14:paraId="6B3214F6" w14:textId="4520AB20" w:rsidR="006B44DC" w:rsidRPr="007D228C" w:rsidRDefault="004628DE" w:rsidP="00494C07">
            <w:pPr>
              <w:autoSpaceDE w:val="0"/>
              <w:autoSpaceDN w:val="0"/>
              <w:adjustRightInd w:val="0"/>
            </w:pPr>
            <w:r>
              <w:t>Taft-Har</w:t>
            </w:r>
            <w:r w:rsidR="00F8092D">
              <w:t>t</w:t>
            </w:r>
            <w:r>
              <w:t>l</w:t>
            </w:r>
            <w:r w:rsidR="00EF563C">
              <w:t>ey Act</w:t>
            </w:r>
          </w:p>
        </w:tc>
        <w:tc>
          <w:tcPr>
            <w:tcW w:w="2413" w:type="dxa"/>
          </w:tcPr>
          <w:p w14:paraId="7B5B16B4" w14:textId="4FDB861E" w:rsidR="006B44DC" w:rsidRDefault="00EA7C86" w:rsidP="00494C07">
            <w:pPr>
              <w:autoSpaceDE w:val="0"/>
              <w:autoSpaceDN w:val="0"/>
              <w:adjustRightInd w:val="0"/>
            </w:pPr>
            <w:r>
              <w:t>Made corrections to unfair labor practices</w:t>
            </w:r>
          </w:p>
        </w:tc>
      </w:tr>
      <w:tr w:rsidR="00E457B7" w14:paraId="122EAEF7" w14:textId="77777777" w:rsidTr="00494C07">
        <w:tc>
          <w:tcPr>
            <w:tcW w:w="2578" w:type="dxa"/>
            <w:vAlign w:val="center"/>
          </w:tcPr>
          <w:p w14:paraId="2816A8FA" w14:textId="2C5408EF" w:rsidR="006B44DC" w:rsidRDefault="006B44DC" w:rsidP="009457A7">
            <w:pPr>
              <w:autoSpaceDE w:val="0"/>
              <w:autoSpaceDN w:val="0"/>
              <w:adjustRightInd w:val="0"/>
              <w:jc w:val="center"/>
            </w:pPr>
            <w:r>
              <w:t>Fair Labor           Standards Act</w:t>
            </w:r>
            <w:r w:rsidR="00B90D02">
              <w:t xml:space="preserve"> (FLSA)</w:t>
            </w:r>
          </w:p>
        </w:tc>
        <w:tc>
          <w:tcPr>
            <w:tcW w:w="719" w:type="dxa"/>
            <w:vAlign w:val="center"/>
          </w:tcPr>
          <w:p w14:paraId="085D43D5" w14:textId="087221BB" w:rsidR="006B44DC" w:rsidRDefault="006B44DC" w:rsidP="003D6A02">
            <w:pPr>
              <w:autoSpaceDE w:val="0"/>
              <w:autoSpaceDN w:val="0"/>
              <w:adjustRightInd w:val="0"/>
              <w:spacing w:line="480" w:lineRule="auto"/>
              <w:jc w:val="center"/>
            </w:pPr>
            <w:r>
              <w:t>1938</w:t>
            </w:r>
          </w:p>
        </w:tc>
        <w:tc>
          <w:tcPr>
            <w:tcW w:w="3377" w:type="dxa"/>
          </w:tcPr>
          <w:p w14:paraId="7D000104" w14:textId="0A1E0A18" w:rsidR="006B44DC" w:rsidRDefault="00B90D02" w:rsidP="00EA3DE8">
            <w:pPr>
              <w:autoSpaceDE w:val="0"/>
              <w:autoSpaceDN w:val="0"/>
              <w:adjustRightInd w:val="0"/>
            </w:pPr>
            <w:r>
              <w:t>A</w:t>
            </w:r>
            <w:r w:rsidRPr="00B90D02">
              <w:t xml:space="preserve"> extensive </w:t>
            </w:r>
            <w:r>
              <w:t xml:space="preserve">law that covers </w:t>
            </w:r>
            <w:r w:rsidRPr="00B90D02">
              <w:t>overtime status and pay, minimum wages, record keeping, child labor laws, and various other concerns.</w:t>
            </w:r>
            <w:r w:rsidR="00EA3DE8">
              <w:t xml:space="preserve">  Additionally, FLSA also defines who is, and who is not, an employee which has significant ramifications with respect to protection under the law.</w:t>
            </w:r>
          </w:p>
        </w:tc>
        <w:tc>
          <w:tcPr>
            <w:tcW w:w="2163" w:type="dxa"/>
          </w:tcPr>
          <w:p w14:paraId="0433F0F7" w14:textId="3D75FD41" w:rsidR="006B44DC" w:rsidRPr="007D228C" w:rsidRDefault="00EA3DE8" w:rsidP="00494C07">
            <w:pPr>
              <w:autoSpaceDE w:val="0"/>
              <w:autoSpaceDN w:val="0"/>
              <w:adjustRightInd w:val="0"/>
            </w:pPr>
            <w:r>
              <w:t>Equal Pay Act</w:t>
            </w:r>
          </w:p>
        </w:tc>
        <w:tc>
          <w:tcPr>
            <w:tcW w:w="2413" w:type="dxa"/>
          </w:tcPr>
          <w:p w14:paraId="57AFE69B" w14:textId="77B0B77E" w:rsidR="006B44DC" w:rsidRDefault="003F6455" w:rsidP="00494C07">
            <w:pPr>
              <w:autoSpaceDE w:val="0"/>
              <w:autoSpaceDN w:val="0"/>
              <w:adjustRightInd w:val="0"/>
            </w:pPr>
            <w:r>
              <w:t>Addressed equal pay with respect to gender.</w:t>
            </w:r>
            <w:r w:rsidR="00EA3DE8">
              <w:t xml:space="preserve"> </w:t>
            </w:r>
          </w:p>
        </w:tc>
      </w:tr>
      <w:tr w:rsidR="00E87259" w14:paraId="57DF6BAD" w14:textId="77777777" w:rsidTr="00413DBD">
        <w:trPr>
          <w:trHeight w:val="2204"/>
        </w:trPr>
        <w:tc>
          <w:tcPr>
            <w:tcW w:w="2578" w:type="dxa"/>
            <w:vAlign w:val="center"/>
          </w:tcPr>
          <w:p w14:paraId="3132C190" w14:textId="03387281" w:rsidR="00E87259" w:rsidRDefault="00E87259" w:rsidP="009457A7">
            <w:pPr>
              <w:autoSpaceDE w:val="0"/>
              <w:autoSpaceDN w:val="0"/>
              <w:adjustRightInd w:val="0"/>
              <w:jc w:val="center"/>
            </w:pPr>
            <w:r>
              <w:t>The Labor Management Relations Act</w:t>
            </w:r>
          </w:p>
          <w:p w14:paraId="0FB4A330" w14:textId="7339B068" w:rsidR="00E87259" w:rsidRDefault="00E87259" w:rsidP="009457A7">
            <w:pPr>
              <w:autoSpaceDE w:val="0"/>
              <w:autoSpaceDN w:val="0"/>
              <w:adjustRightInd w:val="0"/>
              <w:jc w:val="center"/>
            </w:pPr>
            <w:r>
              <w:t>(</w:t>
            </w:r>
            <w:r w:rsidR="00413DBD">
              <w:t>LMRA/</w:t>
            </w:r>
            <w:r>
              <w:t>Taft-Hartley)</w:t>
            </w:r>
          </w:p>
        </w:tc>
        <w:tc>
          <w:tcPr>
            <w:tcW w:w="719" w:type="dxa"/>
            <w:vAlign w:val="center"/>
          </w:tcPr>
          <w:p w14:paraId="1FE51F23" w14:textId="517C4659" w:rsidR="00E87259" w:rsidRDefault="003F6455" w:rsidP="003D6A02">
            <w:pPr>
              <w:autoSpaceDE w:val="0"/>
              <w:autoSpaceDN w:val="0"/>
              <w:adjustRightInd w:val="0"/>
              <w:spacing w:line="480" w:lineRule="auto"/>
              <w:jc w:val="center"/>
            </w:pPr>
            <w:r>
              <w:t>1947</w:t>
            </w:r>
          </w:p>
        </w:tc>
        <w:tc>
          <w:tcPr>
            <w:tcW w:w="3377" w:type="dxa"/>
          </w:tcPr>
          <w:p w14:paraId="33E84C1F" w14:textId="0106EF59" w:rsidR="00E87259" w:rsidRDefault="003F6455" w:rsidP="00413DBD">
            <w:pPr>
              <w:autoSpaceDE w:val="0"/>
              <w:autoSpaceDN w:val="0"/>
              <w:adjustRightInd w:val="0"/>
            </w:pPr>
            <w:r>
              <w:t xml:space="preserve">The Taft-Hartley Act rolled back, what were perceived as, advances in labor relations established by the Wagner Act.  This </w:t>
            </w:r>
            <w:r w:rsidR="00413DBD">
              <w:t>act outlawed</w:t>
            </w:r>
            <w:r>
              <w:t xml:space="preserve"> secondary strikes/boycotts</w:t>
            </w:r>
            <w:r w:rsidR="00413DBD">
              <w:t xml:space="preserve"> as well as many other types of strikes/boycotts.  It also is the grounds for “right to work” legislation and stopped “closed shop” practices.</w:t>
            </w:r>
          </w:p>
        </w:tc>
        <w:tc>
          <w:tcPr>
            <w:tcW w:w="2163" w:type="dxa"/>
          </w:tcPr>
          <w:p w14:paraId="71BD02E5" w14:textId="1BA4AA74" w:rsidR="00E87259" w:rsidRPr="007D228C" w:rsidRDefault="00413DBD" w:rsidP="00494C07">
            <w:pPr>
              <w:autoSpaceDE w:val="0"/>
              <w:autoSpaceDN w:val="0"/>
              <w:adjustRightInd w:val="0"/>
            </w:pPr>
            <w:r>
              <w:t>Landrum-Griffin Act</w:t>
            </w:r>
          </w:p>
        </w:tc>
        <w:tc>
          <w:tcPr>
            <w:tcW w:w="2413" w:type="dxa"/>
          </w:tcPr>
          <w:p w14:paraId="7B250FE3" w14:textId="172BF1BB" w:rsidR="00E87259" w:rsidRDefault="00413DBD" w:rsidP="00494C07">
            <w:pPr>
              <w:autoSpaceDE w:val="0"/>
              <w:autoSpaceDN w:val="0"/>
              <w:adjustRightInd w:val="0"/>
            </w:pPr>
            <w:r>
              <w:t>Targeted labor union corruption</w:t>
            </w:r>
          </w:p>
        </w:tc>
      </w:tr>
      <w:tr w:rsidR="00413DBD" w14:paraId="186BADA4" w14:textId="77777777" w:rsidTr="00413DBD">
        <w:trPr>
          <w:trHeight w:val="2204"/>
        </w:trPr>
        <w:tc>
          <w:tcPr>
            <w:tcW w:w="2578" w:type="dxa"/>
            <w:vAlign w:val="center"/>
          </w:tcPr>
          <w:p w14:paraId="2E8AAB57" w14:textId="0FA9406C" w:rsidR="00413DBD" w:rsidRDefault="00413DBD" w:rsidP="009457A7">
            <w:pPr>
              <w:autoSpaceDE w:val="0"/>
              <w:autoSpaceDN w:val="0"/>
              <w:adjustRightInd w:val="0"/>
              <w:jc w:val="center"/>
            </w:pPr>
            <w:r>
              <w:lastRenderedPageBreak/>
              <w:t>Landrum-Griffen Act (LGA)</w:t>
            </w:r>
          </w:p>
        </w:tc>
        <w:tc>
          <w:tcPr>
            <w:tcW w:w="719" w:type="dxa"/>
            <w:vAlign w:val="center"/>
          </w:tcPr>
          <w:p w14:paraId="18DBFF60" w14:textId="42331F0C" w:rsidR="00413DBD" w:rsidRDefault="00413DBD" w:rsidP="003D6A02">
            <w:pPr>
              <w:autoSpaceDE w:val="0"/>
              <w:autoSpaceDN w:val="0"/>
              <w:adjustRightInd w:val="0"/>
              <w:spacing w:line="480" w:lineRule="auto"/>
              <w:jc w:val="center"/>
            </w:pPr>
            <w:r>
              <w:t>1959</w:t>
            </w:r>
          </w:p>
        </w:tc>
        <w:tc>
          <w:tcPr>
            <w:tcW w:w="3377" w:type="dxa"/>
          </w:tcPr>
          <w:p w14:paraId="4AE0C663" w14:textId="1F7D589A" w:rsidR="00413DBD" w:rsidRDefault="00413DBD" w:rsidP="00413DBD">
            <w:pPr>
              <w:autoSpaceDE w:val="0"/>
              <w:autoSpaceDN w:val="0"/>
              <w:adjustRightInd w:val="0"/>
            </w:pPr>
            <w:r>
              <w:t>An amendment to the LMRA, LGA was aimed at</w:t>
            </w:r>
            <w:r w:rsidR="0026424D">
              <w:t xml:space="preserve"> targeting union corruption by </w:t>
            </w:r>
            <w:r>
              <w:t xml:space="preserve">making internal union governance more democratic and </w:t>
            </w:r>
            <w:r w:rsidR="0026424D">
              <w:t>protecting the public by holding labor organizations accountable for their actions/activities.</w:t>
            </w:r>
          </w:p>
        </w:tc>
        <w:tc>
          <w:tcPr>
            <w:tcW w:w="2163" w:type="dxa"/>
          </w:tcPr>
          <w:p w14:paraId="2C27ACDE" w14:textId="77777777" w:rsidR="00413DBD" w:rsidRDefault="00413DBD" w:rsidP="00494C07">
            <w:pPr>
              <w:autoSpaceDE w:val="0"/>
              <w:autoSpaceDN w:val="0"/>
              <w:adjustRightInd w:val="0"/>
            </w:pPr>
          </w:p>
        </w:tc>
        <w:tc>
          <w:tcPr>
            <w:tcW w:w="2413" w:type="dxa"/>
          </w:tcPr>
          <w:p w14:paraId="091F7F84" w14:textId="77777777" w:rsidR="00413DBD" w:rsidRDefault="00413DBD" w:rsidP="00494C07">
            <w:pPr>
              <w:autoSpaceDE w:val="0"/>
              <w:autoSpaceDN w:val="0"/>
              <w:adjustRightInd w:val="0"/>
            </w:pPr>
          </w:p>
        </w:tc>
      </w:tr>
      <w:tr w:rsidR="00DD54BB" w14:paraId="019512A1" w14:textId="77777777" w:rsidTr="00413DBD">
        <w:trPr>
          <w:trHeight w:val="2204"/>
        </w:trPr>
        <w:tc>
          <w:tcPr>
            <w:tcW w:w="2578" w:type="dxa"/>
            <w:vAlign w:val="center"/>
          </w:tcPr>
          <w:p w14:paraId="3AC1B0A9" w14:textId="4EF861EF" w:rsidR="00DD54BB" w:rsidRDefault="00DD54BB" w:rsidP="009457A7">
            <w:pPr>
              <w:autoSpaceDE w:val="0"/>
              <w:autoSpaceDN w:val="0"/>
              <w:adjustRightInd w:val="0"/>
              <w:jc w:val="center"/>
            </w:pPr>
            <w:r>
              <w:t>EO 10988</w:t>
            </w:r>
          </w:p>
        </w:tc>
        <w:tc>
          <w:tcPr>
            <w:tcW w:w="719" w:type="dxa"/>
            <w:vAlign w:val="center"/>
          </w:tcPr>
          <w:p w14:paraId="33A3081B" w14:textId="29D1F78D" w:rsidR="00DD54BB" w:rsidRDefault="00DD54BB" w:rsidP="003D6A02">
            <w:pPr>
              <w:autoSpaceDE w:val="0"/>
              <w:autoSpaceDN w:val="0"/>
              <w:adjustRightInd w:val="0"/>
              <w:spacing w:line="480" w:lineRule="auto"/>
              <w:jc w:val="center"/>
            </w:pPr>
            <w:r>
              <w:t>1962</w:t>
            </w:r>
          </w:p>
        </w:tc>
        <w:tc>
          <w:tcPr>
            <w:tcW w:w="3377" w:type="dxa"/>
          </w:tcPr>
          <w:p w14:paraId="107ABCF1" w14:textId="30A94654" w:rsidR="00DD54BB" w:rsidRDefault="00DD54BB" w:rsidP="00DD54BB">
            <w:pPr>
              <w:autoSpaceDE w:val="0"/>
              <w:autoSpaceDN w:val="0"/>
              <w:adjustRightInd w:val="0"/>
            </w:pPr>
            <w:r>
              <w:t>This executive order, issued by President Kennedy, gave federal workers the right to unionize and participate in union-type activity.</w:t>
            </w:r>
          </w:p>
        </w:tc>
        <w:tc>
          <w:tcPr>
            <w:tcW w:w="2163" w:type="dxa"/>
          </w:tcPr>
          <w:p w14:paraId="4FAF27D1" w14:textId="1589BEB1" w:rsidR="00DD54BB" w:rsidRDefault="0073729C" w:rsidP="00494C07">
            <w:pPr>
              <w:autoSpaceDE w:val="0"/>
              <w:autoSpaceDN w:val="0"/>
              <w:adjustRightInd w:val="0"/>
            </w:pPr>
            <w:r>
              <w:t>EO 11491</w:t>
            </w:r>
          </w:p>
        </w:tc>
        <w:tc>
          <w:tcPr>
            <w:tcW w:w="2413" w:type="dxa"/>
          </w:tcPr>
          <w:p w14:paraId="0D975498" w14:textId="74B8B611" w:rsidR="00DD54BB" w:rsidRDefault="000B5FB3" w:rsidP="000B5FB3">
            <w:pPr>
              <w:autoSpaceDE w:val="0"/>
              <w:autoSpaceDN w:val="0"/>
              <w:adjustRightInd w:val="0"/>
            </w:pPr>
            <w:r>
              <w:t xml:space="preserve">Established a </w:t>
            </w:r>
            <w:r w:rsidRPr="000B5FB3">
              <w:t>framework to govern labor-mana</w:t>
            </w:r>
            <w:r>
              <w:t xml:space="preserve">gement relations in the Federal </w:t>
            </w:r>
            <w:r w:rsidRPr="000B5FB3">
              <w:t>Government</w:t>
            </w:r>
            <w:r>
              <w:t xml:space="preserve"> via the F</w:t>
            </w:r>
            <w:r w:rsidRPr="000B5FB3">
              <w:t>ederal Labor Relations Council</w:t>
            </w:r>
            <w:r>
              <w:t xml:space="preserve"> (FLRC).</w:t>
            </w:r>
          </w:p>
        </w:tc>
      </w:tr>
      <w:tr w:rsidR="00DD54BB" w14:paraId="47215F86" w14:textId="77777777" w:rsidTr="00413DBD">
        <w:trPr>
          <w:trHeight w:val="2204"/>
        </w:trPr>
        <w:tc>
          <w:tcPr>
            <w:tcW w:w="2578" w:type="dxa"/>
            <w:vAlign w:val="center"/>
          </w:tcPr>
          <w:p w14:paraId="00AB8EDA" w14:textId="665A7A49" w:rsidR="00DD54BB" w:rsidRDefault="00DD54BB" w:rsidP="009457A7">
            <w:pPr>
              <w:autoSpaceDE w:val="0"/>
              <w:autoSpaceDN w:val="0"/>
              <w:adjustRightInd w:val="0"/>
              <w:jc w:val="center"/>
            </w:pPr>
            <w:r>
              <w:t>Equal Pay Act</w:t>
            </w:r>
          </w:p>
        </w:tc>
        <w:tc>
          <w:tcPr>
            <w:tcW w:w="719" w:type="dxa"/>
            <w:vAlign w:val="center"/>
          </w:tcPr>
          <w:p w14:paraId="5093F173" w14:textId="38121DDC" w:rsidR="00DD54BB" w:rsidRDefault="00DD54BB" w:rsidP="003D6A02">
            <w:pPr>
              <w:autoSpaceDE w:val="0"/>
              <w:autoSpaceDN w:val="0"/>
              <w:adjustRightInd w:val="0"/>
              <w:spacing w:line="480" w:lineRule="auto"/>
              <w:jc w:val="center"/>
            </w:pPr>
            <w:r>
              <w:t>1963</w:t>
            </w:r>
          </w:p>
        </w:tc>
        <w:tc>
          <w:tcPr>
            <w:tcW w:w="3377" w:type="dxa"/>
          </w:tcPr>
          <w:p w14:paraId="56A2A1B8" w14:textId="79D08112" w:rsidR="00DD54BB" w:rsidRDefault="00DD54BB" w:rsidP="00DD54BB">
            <w:pPr>
              <w:autoSpaceDE w:val="0"/>
              <w:autoSpaceDN w:val="0"/>
              <w:adjustRightInd w:val="0"/>
            </w:pPr>
            <w:r>
              <w:t>The Equal Pay Act was an amendment to the FLSA and began to address the discrepancy in pay/salaries based on gender.</w:t>
            </w:r>
          </w:p>
        </w:tc>
        <w:tc>
          <w:tcPr>
            <w:tcW w:w="2163" w:type="dxa"/>
          </w:tcPr>
          <w:p w14:paraId="3822E616" w14:textId="77777777" w:rsidR="00DD54BB" w:rsidRDefault="00DD54BB" w:rsidP="00494C07">
            <w:pPr>
              <w:autoSpaceDE w:val="0"/>
              <w:autoSpaceDN w:val="0"/>
              <w:adjustRightInd w:val="0"/>
            </w:pPr>
          </w:p>
        </w:tc>
        <w:tc>
          <w:tcPr>
            <w:tcW w:w="2413" w:type="dxa"/>
          </w:tcPr>
          <w:p w14:paraId="2DE1B675" w14:textId="77777777" w:rsidR="00DD54BB" w:rsidRDefault="00DD54BB" w:rsidP="00494C07">
            <w:pPr>
              <w:autoSpaceDE w:val="0"/>
              <w:autoSpaceDN w:val="0"/>
              <w:adjustRightInd w:val="0"/>
            </w:pPr>
          </w:p>
        </w:tc>
      </w:tr>
      <w:tr w:rsidR="00DD54BB" w14:paraId="4404741C" w14:textId="77777777" w:rsidTr="00413DBD">
        <w:trPr>
          <w:trHeight w:val="2204"/>
        </w:trPr>
        <w:tc>
          <w:tcPr>
            <w:tcW w:w="2578" w:type="dxa"/>
            <w:vAlign w:val="center"/>
          </w:tcPr>
          <w:p w14:paraId="0A6FA6E6" w14:textId="79E73B19" w:rsidR="00DD54BB" w:rsidRDefault="00DD54BB" w:rsidP="009457A7">
            <w:pPr>
              <w:autoSpaceDE w:val="0"/>
              <w:autoSpaceDN w:val="0"/>
              <w:adjustRightInd w:val="0"/>
              <w:jc w:val="center"/>
            </w:pPr>
            <w:r>
              <w:t>Civil Rights Act</w:t>
            </w:r>
          </w:p>
        </w:tc>
        <w:tc>
          <w:tcPr>
            <w:tcW w:w="719" w:type="dxa"/>
            <w:vAlign w:val="center"/>
          </w:tcPr>
          <w:p w14:paraId="786288B0" w14:textId="36D3219F" w:rsidR="00DD54BB" w:rsidRDefault="00DD54BB" w:rsidP="003D6A02">
            <w:pPr>
              <w:autoSpaceDE w:val="0"/>
              <w:autoSpaceDN w:val="0"/>
              <w:adjustRightInd w:val="0"/>
              <w:spacing w:line="480" w:lineRule="auto"/>
              <w:jc w:val="center"/>
            </w:pPr>
            <w:r>
              <w:t>1964</w:t>
            </w:r>
          </w:p>
        </w:tc>
        <w:tc>
          <w:tcPr>
            <w:tcW w:w="3377" w:type="dxa"/>
          </w:tcPr>
          <w:p w14:paraId="7722BE8C" w14:textId="49D2778E" w:rsidR="00DD54BB" w:rsidRDefault="00DD54BB" w:rsidP="007F6F91">
            <w:pPr>
              <w:autoSpaceDE w:val="0"/>
              <w:autoSpaceDN w:val="0"/>
              <w:adjustRightInd w:val="0"/>
            </w:pPr>
            <w:r>
              <w:t>Originated by Kennedy, but signed into law after his death, and the Death of Dr. Martin Luther King, by President Johnson</w:t>
            </w:r>
            <w:r w:rsidR="007F6F91">
              <w:t>.  This law was designed to</w:t>
            </w:r>
            <w:r w:rsidR="007F6F91" w:rsidRPr="007F6F91">
              <w:t xml:space="preserve"> </w:t>
            </w:r>
            <w:r w:rsidR="007F6F91">
              <w:t>target discrimination based on race, color, sex, religion, or national origin.</w:t>
            </w:r>
          </w:p>
        </w:tc>
        <w:tc>
          <w:tcPr>
            <w:tcW w:w="2163" w:type="dxa"/>
          </w:tcPr>
          <w:p w14:paraId="0AF4EF62" w14:textId="5D7C4270" w:rsidR="00DD54BB" w:rsidRDefault="00005751" w:rsidP="00494C07">
            <w:pPr>
              <w:autoSpaceDE w:val="0"/>
              <w:autoSpaceDN w:val="0"/>
              <w:adjustRightInd w:val="0"/>
            </w:pPr>
            <w:r>
              <w:t>The EEOC has made several adjustments to this act, but most significant amendment was the Equal Employment Opportunity Act</w:t>
            </w:r>
          </w:p>
        </w:tc>
        <w:tc>
          <w:tcPr>
            <w:tcW w:w="2413" w:type="dxa"/>
          </w:tcPr>
          <w:p w14:paraId="71903314" w14:textId="0F961857" w:rsidR="00DD54BB" w:rsidRDefault="0073729C" w:rsidP="00494C07">
            <w:pPr>
              <w:autoSpaceDE w:val="0"/>
              <w:autoSpaceDN w:val="0"/>
              <w:adjustRightInd w:val="0"/>
            </w:pPr>
            <w:r>
              <w:t>Granted EEOC authority to enforce regulations of the Civil Rights Act of 1964</w:t>
            </w:r>
          </w:p>
        </w:tc>
      </w:tr>
      <w:tr w:rsidR="0073729C" w14:paraId="2B84825C" w14:textId="77777777" w:rsidTr="00413DBD">
        <w:trPr>
          <w:trHeight w:val="2204"/>
        </w:trPr>
        <w:tc>
          <w:tcPr>
            <w:tcW w:w="2578" w:type="dxa"/>
            <w:vAlign w:val="center"/>
          </w:tcPr>
          <w:p w14:paraId="2579C586" w14:textId="6D2DA295" w:rsidR="0073729C" w:rsidRDefault="000B5FB3" w:rsidP="009457A7">
            <w:pPr>
              <w:autoSpaceDE w:val="0"/>
              <w:autoSpaceDN w:val="0"/>
              <w:adjustRightInd w:val="0"/>
              <w:jc w:val="center"/>
            </w:pPr>
            <w:r>
              <w:t>Occupational Safety &amp; Health Act (OSHA)</w:t>
            </w:r>
          </w:p>
        </w:tc>
        <w:tc>
          <w:tcPr>
            <w:tcW w:w="719" w:type="dxa"/>
            <w:vAlign w:val="center"/>
          </w:tcPr>
          <w:p w14:paraId="4B9B672B" w14:textId="0AC32A70" w:rsidR="0073729C" w:rsidRDefault="000B5FB3" w:rsidP="003D6A02">
            <w:pPr>
              <w:autoSpaceDE w:val="0"/>
              <w:autoSpaceDN w:val="0"/>
              <w:adjustRightInd w:val="0"/>
              <w:spacing w:line="480" w:lineRule="auto"/>
              <w:jc w:val="center"/>
            </w:pPr>
            <w:r>
              <w:t>1970</w:t>
            </w:r>
          </w:p>
        </w:tc>
        <w:tc>
          <w:tcPr>
            <w:tcW w:w="3377" w:type="dxa"/>
          </w:tcPr>
          <w:p w14:paraId="23D1AD05" w14:textId="246090DA" w:rsidR="0073729C" w:rsidRDefault="008E600A" w:rsidP="008E600A">
            <w:pPr>
              <w:autoSpaceDE w:val="0"/>
              <w:autoSpaceDN w:val="0"/>
              <w:adjustRightInd w:val="0"/>
            </w:pPr>
            <w:r>
              <w:t xml:space="preserve">The primary goal of OSHA is to </w:t>
            </w:r>
            <w:r w:rsidRPr="008E600A">
              <w:t xml:space="preserve">reduce workplace hazards and implement safety and health programs for both employers and their employees. To this end, the OSH </w:t>
            </w:r>
            <w:r>
              <w:t xml:space="preserve">gave employees the right to receive training on hazards in the workplace, obtain documentations on work-related illness, and make a complain to have an inspection of the workplace as well as many other safety-related rights </w:t>
            </w:r>
            <w:r>
              <w:lastRenderedPageBreak/>
              <w:t>(</w:t>
            </w:r>
            <w:r w:rsidR="00231CE3" w:rsidRPr="00231CE3">
              <w:t>Occupational Safety and Health Administration</w:t>
            </w:r>
            <w:r w:rsidR="00231CE3">
              <w:t>, 2004).</w:t>
            </w:r>
          </w:p>
        </w:tc>
        <w:tc>
          <w:tcPr>
            <w:tcW w:w="2163" w:type="dxa"/>
          </w:tcPr>
          <w:p w14:paraId="3DE76ED6" w14:textId="27A1BBC9" w:rsidR="0073729C" w:rsidRDefault="00231CE3" w:rsidP="00494C07">
            <w:pPr>
              <w:autoSpaceDE w:val="0"/>
              <w:autoSpaceDN w:val="0"/>
              <w:adjustRightInd w:val="0"/>
            </w:pPr>
            <w:r>
              <w:lastRenderedPageBreak/>
              <w:t>Has been amended several times over the years.</w:t>
            </w:r>
          </w:p>
        </w:tc>
        <w:tc>
          <w:tcPr>
            <w:tcW w:w="2413" w:type="dxa"/>
          </w:tcPr>
          <w:p w14:paraId="7293CF4C" w14:textId="623210C9" w:rsidR="0073729C" w:rsidRDefault="00231CE3" w:rsidP="00494C07">
            <w:pPr>
              <w:autoSpaceDE w:val="0"/>
              <w:autoSpaceDN w:val="0"/>
              <w:adjustRightInd w:val="0"/>
            </w:pPr>
            <w:r>
              <w:t>To close loopholes and increase workplace safety as technological advancements and other factors continue to create unsafe work environments.</w:t>
            </w:r>
          </w:p>
        </w:tc>
      </w:tr>
      <w:tr w:rsidR="002C4BEF" w14:paraId="54FCF59E" w14:textId="77777777" w:rsidTr="00413DBD">
        <w:trPr>
          <w:trHeight w:val="2204"/>
        </w:trPr>
        <w:tc>
          <w:tcPr>
            <w:tcW w:w="2578" w:type="dxa"/>
            <w:vAlign w:val="center"/>
          </w:tcPr>
          <w:p w14:paraId="78B629B3" w14:textId="1DCD2B9A" w:rsidR="002C4BEF" w:rsidRDefault="00E457B7" w:rsidP="009457A7">
            <w:pPr>
              <w:autoSpaceDE w:val="0"/>
              <w:autoSpaceDN w:val="0"/>
              <w:adjustRightInd w:val="0"/>
              <w:jc w:val="center"/>
            </w:pPr>
            <w:r>
              <w:t>Americans w</w:t>
            </w:r>
            <w:r w:rsidR="002C4BEF">
              <w:t xml:space="preserve">ith </w:t>
            </w:r>
            <w:r>
              <w:t>Disabilities</w:t>
            </w:r>
            <w:r w:rsidR="002C4BEF">
              <w:t xml:space="preserve"> Act</w:t>
            </w:r>
            <w:r>
              <w:t xml:space="preserve"> (ADA)</w:t>
            </w:r>
          </w:p>
        </w:tc>
        <w:tc>
          <w:tcPr>
            <w:tcW w:w="719" w:type="dxa"/>
            <w:vAlign w:val="center"/>
          </w:tcPr>
          <w:p w14:paraId="7F6AC2B7" w14:textId="065CDE70" w:rsidR="002C4BEF" w:rsidRDefault="002C4BEF" w:rsidP="003D6A02">
            <w:pPr>
              <w:autoSpaceDE w:val="0"/>
              <w:autoSpaceDN w:val="0"/>
              <w:adjustRightInd w:val="0"/>
              <w:spacing w:line="480" w:lineRule="auto"/>
              <w:jc w:val="center"/>
            </w:pPr>
            <w:r>
              <w:t>1990</w:t>
            </w:r>
          </w:p>
        </w:tc>
        <w:tc>
          <w:tcPr>
            <w:tcW w:w="3377" w:type="dxa"/>
          </w:tcPr>
          <w:p w14:paraId="3DBCEF13" w14:textId="5A26DA05" w:rsidR="002C4BEF" w:rsidRDefault="00B147FD" w:rsidP="007F6F91">
            <w:pPr>
              <w:autoSpaceDE w:val="0"/>
              <w:autoSpaceDN w:val="0"/>
              <w:adjustRightInd w:val="0"/>
            </w:pPr>
            <w:r>
              <w:t>Another amendment to the This law gives all Americans equal opportunities to achieve the same quality of life, regardless of their disabled status.   In short, this law prohibits discrimination of employment based on a medical condition unless a particular function of a job cannot be reasonably completed by the individual with the handicap.</w:t>
            </w:r>
          </w:p>
        </w:tc>
        <w:tc>
          <w:tcPr>
            <w:tcW w:w="2163" w:type="dxa"/>
          </w:tcPr>
          <w:p w14:paraId="142C8AD7" w14:textId="707DFBA0" w:rsidR="002C4BEF" w:rsidRDefault="00127E77" w:rsidP="00494C07">
            <w:pPr>
              <w:autoSpaceDE w:val="0"/>
              <w:autoSpaceDN w:val="0"/>
              <w:adjustRightInd w:val="0"/>
            </w:pPr>
            <w:r w:rsidRPr="00127E77">
              <w:t>ADA Amendments Act of 2008</w:t>
            </w:r>
          </w:p>
        </w:tc>
        <w:tc>
          <w:tcPr>
            <w:tcW w:w="2413" w:type="dxa"/>
          </w:tcPr>
          <w:p w14:paraId="0BD712E8" w14:textId="2C2B298E" w:rsidR="002C4BEF" w:rsidRDefault="00127E77" w:rsidP="00494C07">
            <w:pPr>
              <w:autoSpaceDE w:val="0"/>
              <w:autoSpaceDN w:val="0"/>
              <w:adjustRightInd w:val="0"/>
            </w:pPr>
            <w:r>
              <w:t>Reversed a number of court rulings that were perceived as limiting the rights of the persons with disabilities</w:t>
            </w:r>
          </w:p>
        </w:tc>
      </w:tr>
    </w:tbl>
    <w:p w14:paraId="62AC85FC" w14:textId="0EE603E1" w:rsidR="007D1076" w:rsidRDefault="007D1076" w:rsidP="00127E77">
      <w:pPr>
        <w:jc w:val="both"/>
      </w:pPr>
    </w:p>
    <w:p w14:paraId="292F99AB" w14:textId="77777777" w:rsidR="00127E77" w:rsidRDefault="00127E77" w:rsidP="00127E77">
      <w:pPr>
        <w:jc w:val="both"/>
        <w:rPr>
          <w:u w:val="single"/>
        </w:rPr>
      </w:pPr>
    </w:p>
    <w:p w14:paraId="4D64DCD6" w14:textId="24B1E9A6" w:rsidR="00127E77" w:rsidRDefault="00127E77" w:rsidP="00CD15E6">
      <w:pPr>
        <w:spacing w:line="480" w:lineRule="auto"/>
        <w:rPr>
          <w:u w:val="single"/>
        </w:rPr>
      </w:pPr>
      <w:r>
        <w:tab/>
        <w:t>The 20th c</w:t>
      </w:r>
      <w:r w:rsidR="00CD15E6">
        <w:t>entury proved to be a very progressive century with respect to labor relations in the United States.  From the National Labor Relations act of 1935, which arguably paved the way for the fair treatment of unions and the workforce, to the Civil Rights Act of 1964 which granted equal opportunity in the workplace for all Americans, the workforce in America has seen their rights expand and their workplace conditions improve.  Of course, there were several laws between and after those landmark pieces of legislation that continue to increase and level the market playing field; and, as time moves forward and technology advances the workplace, more work will need to be done to ensure the continued balanced relationship between management and the labor force.</w:t>
      </w:r>
      <w:r>
        <w:rPr>
          <w:u w:val="single"/>
        </w:rPr>
        <w:br w:type="page"/>
      </w:r>
    </w:p>
    <w:p w14:paraId="047AFC21" w14:textId="2227012D" w:rsidR="00B30C4F" w:rsidRPr="00B30C4F" w:rsidRDefault="00C10115" w:rsidP="00230A04">
      <w:pPr>
        <w:jc w:val="center"/>
        <w:rPr>
          <w:u w:val="single"/>
        </w:rPr>
      </w:pPr>
      <w:r w:rsidRPr="00157707">
        <w:rPr>
          <w:u w:val="single"/>
        </w:rPr>
        <w:lastRenderedPageBreak/>
        <w:t>References</w:t>
      </w:r>
    </w:p>
    <w:p w14:paraId="0EAE1940" w14:textId="77777777" w:rsidR="00C34F75" w:rsidRDefault="00C34F75" w:rsidP="00230A04">
      <w:pPr>
        <w:rPr>
          <w:rFonts w:ascii="Arial" w:eastAsia="Times New Roman" w:hAnsi="Arial" w:cs="Arial"/>
          <w:color w:val="000000"/>
          <w:sz w:val="21"/>
          <w:szCs w:val="21"/>
          <w:shd w:val="clear" w:color="auto" w:fill="FFFFFF"/>
        </w:rPr>
      </w:pPr>
    </w:p>
    <w:p w14:paraId="480B578F" w14:textId="77777777" w:rsidR="00C34F75" w:rsidRDefault="00C34F75" w:rsidP="00230A04">
      <w:pPr>
        <w:rPr>
          <w:rFonts w:ascii="Arial" w:eastAsia="Times New Roman" w:hAnsi="Arial" w:cs="Arial"/>
          <w:color w:val="000000"/>
          <w:sz w:val="21"/>
          <w:szCs w:val="21"/>
          <w:shd w:val="clear" w:color="auto" w:fill="FFFFFF"/>
        </w:rPr>
      </w:pPr>
    </w:p>
    <w:p w14:paraId="11FE957D" w14:textId="77777777" w:rsidR="006F1204" w:rsidRPr="009457A7" w:rsidRDefault="006F1204" w:rsidP="006F1204">
      <w:pPr>
        <w:ind w:left="720" w:hanging="720"/>
        <w:rPr>
          <w:rFonts w:eastAsia="Times New Roman"/>
          <w:color w:val="000000"/>
          <w:shd w:val="clear" w:color="auto" w:fill="FFFFFF"/>
        </w:rPr>
      </w:pPr>
      <w:r w:rsidRPr="009457A7">
        <w:rPr>
          <w:rFonts w:eastAsia="Times New Roman"/>
          <w:color w:val="000000"/>
          <w:shd w:val="clear" w:color="auto" w:fill="FFFFFF"/>
        </w:rPr>
        <w:t>Bonasia, J. (2000). American politics in the 20th century. San Mateo, CA: Bluewood Books.</w:t>
      </w:r>
    </w:p>
    <w:p w14:paraId="50E91BF2" w14:textId="77777777" w:rsidR="00880C87" w:rsidRPr="009457A7" w:rsidRDefault="00880C87" w:rsidP="006F1204">
      <w:pPr>
        <w:ind w:left="720" w:hanging="720"/>
        <w:rPr>
          <w:rFonts w:eastAsia="Times New Roman"/>
          <w:color w:val="000000"/>
          <w:shd w:val="clear" w:color="auto" w:fill="FFFFFF"/>
        </w:rPr>
      </w:pPr>
    </w:p>
    <w:p w14:paraId="73E9B204" w14:textId="2B4E2F5E" w:rsidR="00880C87" w:rsidRDefault="00880C87" w:rsidP="006F1204">
      <w:pPr>
        <w:ind w:left="720" w:hanging="720"/>
        <w:rPr>
          <w:rFonts w:eastAsia="Times New Roman"/>
          <w:color w:val="000000"/>
          <w:shd w:val="clear" w:color="auto" w:fill="FFFFFF"/>
        </w:rPr>
      </w:pPr>
      <w:r w:rsidRPr="009457A7">
        <w:rPr>
          <w:rFonts w:eastAsia="Times New Roman"/>
          <w:color w:val="000000"/>
          <w:shd w:val="clear" w:color="auto" w:fill="FFFFFF"/>
        </w:rPr>
        <w:t xml:space="preserve">Department of Labor. (2002, July 22). Summary of the Major Laws of the Department of Labor. Retrieved April 03, 2017, from </w:t>
      </w:r>
      <w:hyperlink r:id="rId7" w:history="1">
        <w:r w:rsidR="00EF563C" w:rsidRPr="0069486F">
          <w:rPr>
            <w:rStyle w:val="Hyperlink"/>
            <w:rFonts w:eastAsia="Times New Roman"/>
            <w:shd w:val="clear" w:color="auto" w:fill="FFFFFF"/>
          </w:rPr>
          <w:t>https://www.dol.gov/opa/aboutdol/lawsprog.htm?Tcode=OR010001</w:t>
        </w:r>
      </w:hyperlink>
    </w:p>
    <w:p w14:paraId="2A4EEDB5" w14:textId="77777777" w:rsidR="00EF563C" w:rsidRDefault="00EF563C" w:rsidP="006F1204">
      <w:pPr>
        <w:ind w:left="720" w:hanging="720"/>
        <w:rPr>
          <w:rFonts w:eastAsia="Times New Roman"/>
          <w:color w:val="000000"/>
          <w:shd w:val="clear" w:color="auto" w:fill="FFFFFF"/>
        </w:rPr>
      </w:pPr>
    </w:p>
    <w:p w14:paraId="7EAB304F" w14:textId="31FBF767" w:rsidR="00EF563C" w:rsidRDefault="00EF563C" w:rsidP="006F1204">
      <w:pPr>
        <w:ind w:left="720" w:hanging="720"/>
        <w:rPr>
          <w:rFonts w:eastAsia="Times New Roman"/>
          <w:color w:val="000000"/>
          <w:shd w:val="clear" w:color="auto" w:fill="FFFFFF"/>
        </w:rPr>
      </w:pPr>
      <w:r w:rsidRPr="00EF563C">
        <w:rPr>
          <w:rFonts w:eastAsia="Times New Roman"/>
          <w:color w:val="000000"/>
          <w:shd w:val="clear" w:color="auto" w:fill="FFFFFF"/>
        </w:rPr>
        <w:t>New Negro Alliance v. Sanitary Grocery Co., 303 U.S. 552 (1938).</w:t>
      </w:r>
    </w:p>
    <w:p w14:paraId="566F8FB1" w14:textId="77777777" w:rsidR="00231CE3" w:rsidRDefault="00231CE3" w:rsidP="006F1204">
      <w:pPr>
        <w:ind w:left="720" w:hanging="720"/>
        <w:rPr>
          <w:rFonts w:eastAsia="Times New Roman"/>
          <w:color w:val="000000"/>
          <w:shd w:val="clear" w:color="auto" w:fill="FFFFFF"/>
        </w:rPr>
      </w:pPr>
    </w:p>
    <w:p w14:paraId="10E85CBC" w14:textId="61F177B4" w:rsidR="00231CE3" w:rsidRPr="009457A7" w:rsidRDefault="00231CE3" w:rsidP="006F1204">
      <w:pPr>
        <w:ind w:left="720" w:hanging="720"/>
        <w:rPr>
          <w:rFonts w:eastAsia="Times New Roman"/>
          <w:color w:val="000000"/>
          <w:shd w:val="clear" w:color="auto" w:fill="FFFFFF"/>
        </w:rPr>
      </w:pPr>
      <w:r w:rsidRPr="00231CE3">
        <w:rPr>
          <w:rFonts w:eastAsia="Times New Roman"/>
          <w:color w:val="000000"/>
          <w:shd w:val="clear" w:color="auto" w:fill="FFFFFF"/>
        </w:rPr>
        <w:t>Occupational Safety and Health Administration. (2004). OSHA Act of 1970. Retrieved January, 16, 2010.</w:t>
      </w:r>
    </w:p>
    <w:p w14:paraId="61729662" w14:textId="77777777" w:rsidR="006F1204" w:rsidRPr="009457A7" w:rsidRDefault="006F1204" w:rsidP="006F1204">
      <w:pPr>
        <w:ind w:left="720" w:hanging="720"/>
        <w:rPr>
          <w:rFonts w:eastAsia="Times New Roman"/>
          <w:color w:val="000000"/>
          <w:shd w:val="clear" w:color="auto" w:fill="FFFFFF"/>
        </w:rPr>
      </w:pPr>
    </w:p>
    <w:p w14:paraId="5C00BC3D" w14:textId="6EB99ABF" w:rsidR="00E96E37" w:rsidRPr="009457A7" w:rsidRDefault="006F1204" w:rsidP="006F1204">
      <w:pPr>
        <w:ind w:left="720" w:hanging="720"/>
        <w:rPr>
          <w:rFonts w:eastAsia="Times New Roman"/>
          <w:color w:val="000000"/>
          <w:shd w:val="clear" w:color="auto" w:fill="FFFFFF"/>
        </w:rPr>
      </w:pPr>
      <w:r w:rsidRPr="009457A7">
        <w:rPr>
          <w:rFonts w:eastAsia="Times New Roman"/>
          <w:color w:val="000000"/>
          <w:shd w:val="clear" w:color="auto" w:fill="FFFFFF"/>
        </w:rPr>
        <w:t>Seaquist, G. (2015). Employee and labor relations: A practical guide. San Diego: Bridgepoint Education.</w:t>
      </w:r>
    </w:p>
    <w:p w14:paraId="51DECC86" w14:textId="77777777" w:rsidR="009E20C9" w:rsidRDefault="009E20C9" w:rsidP="009457A7">
      <w:pPr>
        <w:rPr>
          <w:rFonts w:ascii="Arial" w:eastAsia="Times New Roman" w:hAnsi="Arial" w:cs="Arial"/>
          <w:color w:val="000000"/>
          <w:sz w:val="21"/>
          <w:szCs w:val="21"/>
          <w:shd w:val="clear" w:color="auto" w:fill="FFFFFF"/>
        </w:rPr>
      </w:pPr>
    </w:p>
    <w:p w14:paraId="2327BBD8" w14:textId="2862F005" w:rsidR="006F1204" w:rsidRPr="009E20C9" w:rsidRDefault="009E20C9" w:rsidP="009E20C9">
      <w:pPr>
        <w:ind w:left="720" w:hanging="720"/>
        <w:rPr>
          <w:rFonts w:eastAsia="Times New Roman"/>
          <w:color w:val="000000"/>
          <w:shd w:val="clear" w:color="auto" w:fill="FFFFFF"/>
        </w:rPr>
      </w:pPr>
      <w:r w:rsidRPr="009E20C9">
        <w:rPr>
          <w:rFonts w:eastAsia="Times New Roman"/>
          <w:color w:val="000000"/>
          <w:shd w:val="clear" w:color="auto" w:fill="FFFFFF"/>
        </w:rPr>
        <w:t>Social Welfare History Project. (2011). The National Industrial Recovery Act of 1933. Social Welfare History Project. Retrieved 3 Mar 2017 from http://socialwelfare.library.vcu.edu/new-deal/national-industrial-recovery-act-of-1933/</w:t>
      </w:r>
    </w:p>
    <w:p w14:paraId="465E09DC" w14:textId="77777777" w:rsidR="006F1204" w:rsidRPr="00C10115" w:rsidRDefault="006F1204" w:rsidP="006F1204">
      <w:pPr>
        <w:ind w:left="720" w:hanging="720"/>
      </w:pPr>
    </w:p>
    <w:sectPr w:rsidR="006F1204" w:rsidRPr="00C10115" w:rsidSect="00905BD5">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DB8A3" w14:textId="77777777" w:rsidR="00617501" w:rsidRDefault="00617501">
      <w:r>
        <w:separator/>
      </w:r>
    </w:p>
  </w:endnote>
  <w:endnote w:type="continuationSeparator" w:id="0">
    <w:p w14:paraId="380FA211" w14:textId="77777777" w:rsidR="00617501" w:rsidRDefault="0061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66039" w14:textId="77777777" w:rsidR="00617501" w:rsidRDefault="00617501">
      <w:r>
        <w:separator/>
      </w:r>
    </w:p>
  </w:footnote>
  <w:footnote w:type="continuationSeparator" w:id="0">
    <w:p w14:paraId="759C7C64" w14:textId="77777777" w:rsidR="00617501" w:rsidRDefault="00617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71C88" w14:textId="77777777" w:rsidR="00AD45A6" w:rsidRDefault="00301736" w:rsidP="00AD45A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AE77F5" w14:textId="77777777" w:rsidR="00AD45A6" w:rsidRDefault="00AD45A6" w:rsidP="00AD45A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45DF5" w14:textId="77777777" w:rsidR="00AD45A6" w:rsidRDefault="00301736" w:rsidP="00AD45A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3855">
      <w:rPr>
        <w:rStyle w:val="PageNumber"/>
        <w:noProof/>
      </w:rPr>
      <w:t>5</w:t>
    </w:r>
    <w:r>
      <w:rPr>
        <w:rStyle w:val="PageNumber"/>
      </w:rPr>
      <w:fldChar w:fldCharType="end"/>
    </w:r>
  </w:p>
  <w:p w14:paraId="2EA5550D" w14:textId="3F862B93" w:rsidR="00AD45A6" w:rsidRPr="00910707" w:rsidRDefault="006F1204" w:rsidP="00AD45A6">
    <w:pPr>
      <w:pStyle w:val="Header"/>
      <w:ind w:right="360"/>
    </w:pPr>
    <w:r>
      <w:rPr>
        <w:rStyle w:val="PageNumber"/>
      </w:rPr>
      <w:t>LABOR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A1677" w14:textId="34D20B34" w:rsidR="00AD45A6" w:rsidRPr="00910707" w:rsidRDefault="00301736" w:rsidP="00905BD5">
    <w:pPr>
      <w:pStyle w:val="Header"/>
      <w:ind w:right="90"/>
    </w:pPr>
    <w:r w:rsidRPr="00910707">
      <w:t>R</w:t>
    </w:r>
    <w:r w:rsidR="00853787">
      <w:t>unning h</w:t>
    </w:r>
    <w:r w:rsidRPr="00910707">
      <w:t xml:space="preserve">ead: </w:t>
    </w:r>
    <w:r w:rsidR="006F1204">
      <w:t>LABOR</w:t>
    </w:r>
    <w:r w:rsidR="00905BD5">
      <w:tab/>
    </w:r>
    <w:r w:rsidR="00905BD5">
      <w:tab/>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32F4A"/>
    <w:multiLevelType w:val="multilevel"/>
    <w:tmpl w:val="E9DA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115"/>
    <w:rsid w:val="00005751"/>
    <w:rsid w:val="00027414"/>
    <w:rsid w:val="000716F7"/>
    <w:rsid w:val="00076046"/>
    <w:rsid w:val="000B5FB3"/>
    <w:rsid w:val="000E651F"/>
    <w:rsid w:val="00113855"/>
    <w:rsid w:val="00127E77"/>
    <w:rsid w:val="00146CCE"/>
    <w:rsid w:val="00162447"/>
    <w:rsid w:val="00167056"/>
    <w:rsid w:val="001805CF"/>
    <w:rsid w:val="001A3752"/>
    <w:rsid w:val="001E5F8E"/>
    <w:rsid w:val="001F459C"/>
    <w:rsid w:val="00226C6A"/>
    <w:rsid w:val="00230A04"/>
    <w:rsid w:val="00231CE3"/>
    <w:rsid w:val="00257B7F"/>
    <w:rsid w:val="0026424D"/>
    <w:rsid w:val="00264BFB"/>
    <w:rsid w:val="00287558"/>
    <w:rsid w:val="00293F46"/>
    <w:rsid w:val="002C4BEF"/>
    <w:rsid w:val="00301736"/>
    <w:rsid w:val="003D6A02"/>
    <w:rsid w:val="003F6455"/>
    <w:rsid w:val="00413DBD"/>
    <w:rsid w:val="00457496"/>
    <w:rsid w:val="004628DE"/>
    <w:rsid w:val="00472519"/>
    <w:rsid w:val="00481054"/>
    <w:rsid w:val="00494C07"/>
    <w:rsid w:val="0049534B"/>
    <w:rsid w:val="004F2976"/>
    <w:rsid w:val="00520A50"/>
    <w:rsid w:val="00523391"/>
    <w:rsid w:val="00556F59"/>
    <w:rsid w:val="0056733D"/>
    <w:rsid w:val="00574FBB"/>
    <w:rsid w:val="005C74A9"/>
    <w:rsid w:val="005D7A84"/>
    <w:rsid w:val="005F5BB6"/>
    <w:rsid w:val="006027F4"/>
    <w:rsid w:val="00616875"/>
    <w:rsid w:val="00617501"/>
    <w:rsid w:val="00624D67"/>
    <w:rsid w:val="0068051E"/>
    <w:rsid w:val="0068350E"/>
    <w:rsid w:val="00693180"/>
    <w:rsid w:val="006A7D4E"/>
    <w:rsid w:val="006B44DC"/>
    <w:rsid w:val="006C6842"/>
    <w:rsid w:val="006D322C"/>
    <w:rsid w:val="006D410F"/>
    <w:rsid w:val="006E017C"/>
    <w:rsid w:val="006E4899"/>
    <w:rsid w:val="006F1204"/>
    <w:rsid w:val="006F2352"/>
    <w:rsid w:val="00730186"/>
    <w:rsid w:val="0073729C"/>
    <w:rsid w:val="007B68F4"/>
    <w:rsid w:val="007D1076"/>
    <w:rsid w:val="007D228C"/>
    <w:rsid w:val="007D2EAD"/>
    <w:rsid w:val="007F6F91"/>
    <w:rsid w:val="008254AD"/>
    <w:rsid w:val="00853787"/>
    <w:rsid w:val="00857BF5"/>
    <w:rsid w:val="00873AD1"/>
    <w:rsid w:val="00880400"/>
    <w:rsid w:val="00880C87"/>
    <w:rsid w:val="00891725"/>
    <w:rsid w:val="008A23BF"/>
    <w:rsid w:val="008B6BD3"/>
    <w:rsid w:val="008E600A"/>
    <w:rsid w:val="008F2D35"/>
    <w:rsid w:val="00905BD5"/>
    <w:rsid w:val="00926F70"/>
    <w:rsid w:val="009457A7"/>
    <w:rsid w:val="009757FE"/>
    <w:rsid w:val="009A4CC7"/>
    <w:rsid w:val="009E20C9"/>
    <w:rsid w:val="00A15BDD"/>
    <w:rsid w:val="00A25531"/>
    <w:rsid w:val="00AA2CA5"/>
    <w:rsid w:val="00AD45A6"/>
    <w:rsid w:val="00AE59B8"/>
    <w:rsid w:val="00B147FD"/>
    <w:rsid w:val="00B30C4F"/>
    <w:rsid w:val="00B34A8E"/>
    <w:rsid w:val="00B4148D"/>
    <w:rsid w:val="00B835DB"/>
    <w:rsid w:val="00B90D02"/>
    <w:rsid w:val="00B90F64"/>
    <w:rsid w:val="00BE1843"/>
    <w:rsid w:val="00C10115"/>
    <w:rsid w:val="00C34F75"/>
    <w:rsid w:val="00C42544"/>
    <w:rsid w:val="00CA7FCD"/>
    <w:rsid w:val="00CD15E6"/>
    <w:rsid w:val="00CE6269"/>
    <w:rsid w:val="00D042C4"/>
    <w:rsid w:val="00D167B5"/>
    <w:rsid w:val="00D244E2"/>
    <w:rsid w:val="00D44049"/>
    <w:rsid w:val="00D45645"/>
    <w:rsid w:val="00D737F7"/>
    <w:rsid w:val="00DB0BC5"/>
    <w:rsid w:val="00DD02AA"/>
    <w:rsid w:val="00DD54BB"/>
    <w:rsid w:val="00DD5D75"/>
    <w:rsid w:val="00DD5EF7"/>
    <w:rsid w:val="00DD69CA"/>
    <w:rsid w:val="00E457B7"/>
    <w:rsid w:val="00E54626"/>
    <w:rsid w:val="00E87259"/>
    <w:rsid w:val="00E922E3"/>
    <w:rsid w:val="00E92630"/>
    <w:rsid w:val="00E96E37"/>
    <w:rsid w:val="00EA3DE8"/>
    <w:rsid w:val="00EA523D"/>
    <w:rsid w:val="00EA5DC0"/>
    <w:rsid w:val="00EA7C86"/>
    <w:rsid w:val="00EF563C"/>
    <w:rsid w:val="00F103D0"/>
    <w:rsid w:val="00F15CE2"/>
    <w:rsid w:val="00F32009"/>
    <w:rsid w:val="00F41B16"/>
    <w:rsid w:val="00F75D7F"/>
    <w:rsid w:val="00F76396"/>
    <w:rsid w:val="00F8092D"/>
    <w:rsid w:val="00FA247B"/>
    <w:rsid w:val="00FB562D"/>
    <w:rsid w:val="00FC1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0449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7B5"/>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115"/>
    <w:pPr>
      <w:tabs>
        <w:tab w:val="center" w:pos="4680"/>
        <w:tab w:val="right" w:pos="9360"/>
      </w:tabs>
    </w:pPr>
  </w:style>
  <w:style w:type="character" w:customStyle="1" w:styleId="HeaderChar">
    <w:name w:val="Header Char"/>
    <w:basedOn w:val="DefaultParagraphFont"/>
    <w:link w:val="Header"/>
    <w:uiPriority w:val="99"/>
    <w:rsid w:val="00C10115"/>
  </w:style>
  <w:style w:type="character" w:styleId="PageNumber">
    <w:name w:val="page number"/>
    <w:basedOn w:val="DefaultParagraphFont"/>
    <w:uiPriority w:val="99"/>
    <w:semiHidden/>
    <w:unhideWhenUsed/>
    <w:rsid w:val="00C10115"/>
  </w:style>
  <w:style w:type="character" w:styleId="Hyperlink">
    <w:name w:val="Hyperlink"/>
    <w:basedOn w:val="DefaultParagraphFont"/>
    <w:uiPriority w:val="99"/>
    <w:unhideWhenUsed/>
    <w:rsid w:val="00C10115"/>
    <w:rPr>
      <w:color w:val="0563C1" w:themeColor="hyperlink"/>
      <w:u w:val="single"/>
    </w:rPr>
  </w:style>
  <w:style w:type="paragraph" w:styleId="Footer">
    <w:name w:val="footer"/>
    <w:basedOn w:val="Normal"/>
    <w:link w:val="FooterChar"/>
    <w:uiPriority w:val="99"/>
    <w:unhideWhenUsed/>
    <w:rsid w:val="00853787"/>
    <w:pPr>
      <w:tabs>
        <w:tab w:val="center" w:pos="4680"/>
        <w:tab w:val="right" w:pos="9360"/>
      </w:tabs>
    </w:pPr>
  </w:style>
  <w:style w:type="character" w:customStyle="1" w:styleId="FooterChar">
    <w:name w:val="Footer Char"/>
    <w:basedOn w:val="DefaultParagraphFont"/>
    <w:link w:val="Footer"/>
    <w:uiPriority w:val="99"/>
    <w:rsid w:val="00853787"/>
  </w:style>
  <w:style w:type="paragraph" w:styleId="NormalWeb">
    <w:name w:val="Normal (Web)"/>
    <w:basedOn w:val="Normal"/>
    <w:uiPriority w:val="99"/>
    <w:semiHidden/>
    <w:unhideWhenUsed/>
    <w:rsid w:val="00F15CE2"/>
    <w:pPr>
      <w:spacing w:before="100" w:beforeAutospacing="1" w:after="100" w:afterAutospacing="1"/>
    </w:pPr>
  </w:style>
  <w:style w:type="character" w:customStyle="1" w:styleId="apple-converted-space">
    <w:name w:val="apple-converted-space"/>
    <w:basedOn w:val="DefaultParagraphFont"/>
    <w:rsid w:val="00D167B5"/>
  </w:style>
  <w:style w:type="character" w:styleId="Emphasis">
    <w:name w:val="Emphasis"/>
    <w:basedOn w:val="DefaultParagraphFont"/>
    <w:uiPriority w:val="20"/>
    <w:qFormat/>
    <w:rsid w:val="00D167B5"/>
    <w:rPr>
      <w:i/>
      <w:iCs/>
    </w:rPr>
  </w:style>
  <w:style w:type="character" w:styleId="FollowedHyperlink">
    <w:name w:val="FollowedHyperlink"/>
    <w:basedOn w:val="DefaultParagraphFont"/>
    <w:uiPriority w:val="99"/>
    <w:semiHidden/>
    <w:unhideWhenUsed/>
    <w:rsid w:val="00230A04"/>
    <w:rPr>
      <w:color w:val="954F72" w:themeColor="followedHyperlink"/>
      <w:u w:val="single"/>
    </w:rPr>
  </w:style>
  <w:style w:type="table" w:styleId="TableGrid">
    <w:name w:val="Table Grid"/>
    <w:basedOn w:val="TableNormal"/>
    <w:uiPriority w:val="39"/>
    <w:rsid w:val="00880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44480">
      <w:bodyDiv w:val="1"/>
      <w:marLeft w:val="0"/>
      <w:marRight w:val="0"/>
      <w:marTop w:val="0"/>
      <w:marBottom w:val="0"/>
      <w:divBdr>
        <w:top w:val="none" w:sz="0" w:space="0" w:color="auto"/>
        <w:left w:val="none" w:sz="0" w:space="0" w:color="auto"/>
        <w:bottom w:val="none" w:sz="0" w:space="0" w:color="auto"/>
        <w:right w:val="none" w:sz="0" w:space="0" w:color="auto"/>
      </w:divBdr>
    </w:div>
    <w:div w:id="207886326">
      <w:bodyDiv w:val="1"/>
      <w:marLeft w:val="0"/>
      <w:marRight w:val="0"/>
      <w:marTop w:val="0"/>
      <w:marBottom w:val="0"/>
      <w:divBdr>
        <w:top w:val="none" w:sz="0" w:space="0" w:color="auto"/>
        <w:left w:val="none" w:sz="0" w:space="0" w:color="auto"/>
        <w:bottom w:val="none" w:sz="0" w:space="0" w:color="auto"/>
        <w:right w:val="none" w:sz="0" w:space="0" w:color="auto"/>
      </w:divBdr>
    </w:div>
    <w:div w:id="487328302">
      <w:bodyDiv w:val="1"/>
      <w:marLeft w:val="0"/>
      <w:marRight w:val="0"/>
      <w:marTop w:val="0"/>
      <w:marBottom w:val="0"/>
      <w:divBdr>
        <w:top w:val="none" w:sz="0" w:space="0" w:color="auto"/>
        <w:left w:val="none" w:sz="0" w:space="0" w:color="auto"/>
        <w:bottom w:val="none" w:sz="0" w:space="0" w:color="auto"/>
        <w:right w:val="none" w:sz="0" w:space="0" w:color="auto"/>
      </w:divBdr>
    </w:div>
    <w:div w:id="490173328">
      <w:bodyDiv w:val="1"/>
      <w:marLeft w:val="0"/>
      <w:marRight w:val="0"/>
      <w:marTop w:val="0"/>
      <w:marBottom w:val="0"/>
      <w:divBdr>
        <w:top w:val="none" w:sz="0" w:space="0" w:color="auto"/>
        <w:left w:val="none" w:sz="0" w:space="0" w:color="auto"/>
        <w:bottom w:val="none" w:sz="0" w:space="0" w:color="auto"/>
        <w:right w:val="none" w:sz="0" w:space="0" w:color="auto"/>
      </w:divBdr>
    </w:div>
    <w:div w:id="554658224">
      <w:bodyDiv w:val="1"/>
      <w:marLeft w:val="0"/>
      <w:marRight w:val="0"/>
      <w:marTop w:val="0"/>
      <w:marBottom w:val="0"/>
      <w:divBdr>
        <w:top w:val="none" w:sz="0" w:space="0" w:color="auto"/>
        <w:left w:val="none" w:sz="0" w:space="0" w:color="auto"/>
        <w:bottom w:val="none" w:sz="0" w:space="0" w:color="auto"/>
        <w:right w:val="none" w:sz="0" w:space="0" w:color="auto"/>
      </w:divBdr>
    </w:div>
    <w:div w:id="568228937">
      <w:bodyDiv w:val="1"/>
      <w:marLeft w:val="0"/>
      <w:marRight w:val="0"/>
      <w:marTop w:val="0"/>
      <w:marBottom w:val="0"/>
      <w:divBdr>
        <w:top w:val="none" w:sz="0" w:space="0" w:color="auto"/>
        <w:left w:val="none" w:sz="0" w:space="0" w:color="auto"/>
        <w:bottom w:val="none" w:sz="0" w:space="0" w:color="auto"/>
        <w:right w:val="none" w:sz="0" w:space="0" w:color="auto"/>
      </w:divBdr>
    </w:div>
    <w:div w:id="576744516">
      <w:bodyDiv w:val="1"/>
      <w:marLeft w:val="0"/>
      <w:marRight w:val="0"/>
      <w:marTop w:val="0"/>
      <w:marBottom w:val="0"/>
      <w:divBdr>
        <w:top w:val="none" w:sz="0" w:space="0" w:color="auto"/>
        <w:left w:val="none" w:sz="0" w:space="0" w:color="auto"/>
        <w:bottom w:val="none" w:sz="0" w:space="0" w:color="auto"/>
        <w:right w:val="none" w:sz="0" w:space="0" w:color="auto"/>
      </w:divBdr>
    </w:div>
    <w:div w:id="593707288">
      <w:bodyDiv w:val="1"/>
      <w:marLeft w:val="0"/>
      <w:marRight w:val="0"/>
      <w:marTop w:val="0"/>
      <w:marBottom w:val="0"/>
      <w:divBdr>
        <w:top w:val="none" w:sz="0" w:space="0" w:color="auto"/>
        <w:left w:val="none" w:sz="0" w:space="0" w:color="auto"/>
        <w:bottom w:val="none" w:sz="0" w:space="0" w:color="auto"/>
        <w:right w:val="none" w:sz="0" w:space="0" w:color="auto"/>
      </w:divBdr>
    </w:div>
    <w:div w:id="784886512">
      <w:bodyDiv w:val="1"/>
      <w:marLeft w:val="0"/>
      <w:marRight w:val="0"/>
      <w:marTop w:val="0"/>
      <w:marBottom w:val="0"/>
      <w:divBdr>
        <w:top w:val="none" w:sz="0" w:space="0" w:color="auto"/>
        <w:left w:val="none" w:sz="0" w:space="0" w:color="auto"/>
        <w:bottom w:val="none" w:sz="0" w:space="0" w:color="auto"/>
        <w:right w:val="none" w:sz="0" w:space="0" w:color="auto"/>
      </w:divBdr>
    </w:div>
    <w:div w:id="803501329">
      <w:bodyDiv w:val="1"/>
      <w:marLeft w:val="0"/>
      <w:marRight w:val="0"/>
      <w:marTop w:val="0"/>
      <w:marBottom w:val="0"/>
      <w:divBdr>
        <w:top w:val="none" w:sz="0" w:space="0" w:color="auto"/>
        <w:left w:val="none" w:sz="0" w:space="0" w:color="auto"/>
        <w:bottom w:val="none" w:sz="0" w:space="0" w:color="auto"/>
        <w:right w:val="none" w:sz="0" w:space="0" w:color="auto"/>
      </w:divBdr>
    </w:div>
    <w:div w:id="832794021">
      <w:bodyDiv w:val="1"/>
      <w:marLeft w:val="0"/>
      <w:marRight w:val="0"/>
      <w:marTop w:val="0"/>
      <w:marBottom w:val="0"/>
      <w:divBdr>
        <w:top w:val="none" w:sz="0" w:space="0" w:color="auto"/>
        <w:left w:val="none" w:sz="0" w:space="0" w:color="auto"/>
        <w:bottom w:val="none" w:sz="0" w:space="0" w:color="auto"/>
        <w:right w:val="none" w:sz="0" w:space="0" w:color="auto"/>
      </w:divBdr>
      <w:divsChild>
        <w:div w:id="1423062801">
          <w:marLeft w:val="0"/>
          <w:marRight w:val="0"/>
          <w:marTop w:val="0"/>
          <w:marBottom w:val="0"/>
          <w:divBdr>
            <w:top w:val="none" w:sz="0" w:space="0" w:color="auto"/>
            <w:left w:val="none" w:sz="0" w:space="0" w:color="auto"/>
            <w:bottom w:val="none" w:sz="0" w:space="0" w:color="auto"/>
            <w:right w:val="none" w:sz="0" w:space="0" w:color="auto"/>
          </w:divBdr>
          <w:divsChild>
            <w:div w:id="224146855">
              <w:marLeft w:val="0"/>
              <w:marRight w:val="0"/>
              <w:marTop w:val="0"/>
              <w:marBottom w:val="0"/>
              <w:divBdr>
                <w:top w:val="none" w:sz="0" w:space="0" w:color="auto"/>
                <w:left w:val="none" w:sz="0" w:space="0" w:color="auto"/>
                <w:bottom w:val="none" w:sz="0" w:space="0" w:color="auto"/>
                <w:right w:val="none" w:sz="0" w:space="0" w:color="auto"/>
              </w:divBdr>
              <w:divsChild>
                <w:div w:id="107748371">
                  <w:marLeft w:val="0"/>
                  <w:marRight w:val="0"/>
                  <w:marTop w:val="0"/>
                  <w:marBottom w:val="0"/>
                  <w:divBdr>
                    <w:top w:val="none" w:sz="0" w:space="0" w:color="auto"/>
                    <w:left w:val="none" w:sz="0" w:space="0" w:color="auto"/>
                    <w:bottom w:val="none" w:sz="0" w:space="0" w:color="auto"/>
                    <w:right w:val="none" w:sz="0" w:space="0" w:color="auto"/>
                  </w:divBdr>
                  <w:divsChild>
                    <w:div w:id="86320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211646">
      <w:bodyDiv w:val="1"/>
      <w:marLeft w:val="0"/>
      <w:marRight w:val="0"/>
      <w:marTop w:val="0"/>
      <w:marBottom w:val="0"/>
      <w:divBdr>
        <w:top w:val="none" w:sz="0" w:space="0" w:color="auto"/>
        <w:left w:val="none" w:sz="0" w:space="0" w:color="auto"/>
        <w:bottom w:val="none" w:sz="0" w:space="0" w:color="auto"/>
        <w:right w:val="none" w:sz="0" w:space="0" w:color="auto"/>
      </w:divBdr>
      <w:divsChild>
        <w:div w:id="1079133153">
          <w:marLeft w:val="0"/>
          <w:marRight w:val="0"/>
          <w:marTop w:val="0"/>
          <w:marBottom w:val="0"/>
          <w:divBdr>
            <w:top w:val="none" w:sz="0" w:space="0" w:color="auto"/>
            <w:left w:val="none" w:sz="0" w:space="0" w:color="auto"/>
            <w:bottom w:val="none" w:sz="0" w:space="0" w:color="auto"/>
            <w:right w:val="none" w:sz="0" w:space="0" w:color="auto"/>
          </w:divBdr>
          <w:divsChild>
            <w:div w:id="688025169">
              <w:marLeft w:val="0"/>
              <w:marRight w:val="0"/>
              <w:marTop w:val="0"/>
              <w:marBottom w:val="0"/>
              <w:divBdr>
                <w:top w:val="none" w:sz="0" w:space="0" w:color="auto"/>
                <w:left w:val="none" w:sz="0" w:space="0" w:color="auto"/>
                <w:bottom w:val="none" w:sz="0" w:space="0" w:color="auto"/>
                <w:right w:val="none" w:sz="0" w:space="0" w:color="auto"/>
              </w:divBdr>
              <w:divsChild>
                <w:div w:id="48170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3031">
      <w:bodyDiv w:val="1"/>
      <w:marLeft w:val="0"/>
      <w:marRight w:val="0"/>
      <w:marTop w:val="0"/>
      <w:marBottom w:val="0"/>
      <w:divBdr>
        <w:top w:val="none" w:sz="0" w:space="0" w:color="auto"/>
        <w:left w:val="none" w:sz="0" w:space="0" w:color="auto"/>
        <w:bottom w:val="none" w:sz="0" w:space="0" w:color="auto"/>
        <w:right w:val="none" w:sz="0" w:space="0" w:color="auto"/>
      </w:divBdr>
    </w:div>
    <w:div w:id="906650002">
      <w:bodyDiv w:val="1"/>
      <w:marLeft w:val="0"/>
      <w:marRight w:val="0"/>
      <w:marTop w:val="0"/>
      <w:marBottom w:val="0"/>
      <w:divBdr>
        <w:top w:val="none" w:sz="0" w:space="0" w:color="auto"/>
        <w:left w:val="none" w:sz="0" w:space="0" w:color="auto"/>
        <w:bottom w:val="none" w:sz="0" w:space="0" w:color="auto"/>
        <w:right w:val="none" w:sz="0" w:space="0" w:color="auto"/>
      </w:divBdr>
    </w:div>
    <w:div w:id="1055159051">
      <w:bodyDiv w:val="1"/>
      <w:marLeft w:val="0"/>
      <w:marRight w:val="0"/>
      <w:marTop w:val="0"/>
      <w:marBottom w:val="0"/>
      <w:divBdr>
        <w:top w:val="none" w:sz="0" w:space="0" w:color="auto"/>
        <w:left w:val="none" w:sz="0" w:space="0" w:color="auto"/>
        <w:bottom w:val="none" w:sz="0" w:space="0" w:color="auto"/>
        <w:right w:val="none" w:sz="0" w:space="0" w:color="auto"/>
      </w:divBdr>
    </w:div>
    <w:div w:id="1086002883">
      <w:bodyDiv w:val="1"/>
      <w:marLeft w:val="0"/>
      <w:marRight w:val="0"/>
      <w:marTop w:val="0"/>
      <w:marBottom w:val="0"/>
      <w:divBdr>
        <w:top w:val="none" w:sz="0" w:space="0" w:color="auto"/>
        <w:left w:val="none" w:sz="0" w:space="0" w:color="auto"/>
        <w:bottom w:val="none" w:sz="0" w:space="0" w:color="auto"/>
        <w:right w:val="none" w:sz="0" w:space="0" w:color="auto"/>
      </w:divBdr>
      <w:divsChild>
        <w:div w:id="114446790">
          <w:marLeft w:val="0"/>
          <w:marRight w:val="0"/>
          <w:marTop w:val="0"/>
          <w:marBottom w:val="0"/>
          <w:divBdr>
            <w:top w:val="none" w:sz="0" w:space="0" w:color="auto"/>
            <w:left w:val="none" w:sz="0" w:space="0" w:color="auto"/>
            <w:bottom w:val="none" w:sz="0" w:space="0" w:color="auto"/>
            <w:right w:val="none" w:sz="0" w:space="0" w:color="auto"/>
          </w:divBdr>
          <w:divsChild>
            <w:div w:id="1915429006">
              <w:marLeft w:val="0"/>
              <w:marRight w:val="0"/>
              <w:marTop w:val="0"/>
              <w:marBottom w:val="0"/>
              <w:divBdr>
                <w:top w:val="none" w:sz="0" w:space="0" w:color="auto"/>
                <w:left w:val="none" w:sz="0" w:space="0" w:color="auto"/>
                <w:bottom w:val="none" w:sz="0" w:space="0" w:color="auto"/>
                <w:right w:val="none" w:sz="0" w:space="0" w:color="auto"/>
              </w:divBdr>
              <w:divsChild>
                <w:div w:id="119105379">
                  <w:marLeft w:val="0"/>
                  <w:marRight w:val="0"/>
                  <w:marTop w:val="0"/>
                  <w:marBottom w:val="0"/>
                  <w:divBdr>
                    <w:top w:val="none" w:sz="0" w:space="0" w:color="auto"/>
                    <w:left w:val="none" w:sz="0" w:space="0" w:color="auto"/>
                    <w:bottom w:val="none" w:sz="0" w:space="0" w:color="auto"/>
                    <w:right w:val="none" w:sz="0" w:space="0" w:color="auto"/>
                  </w:divBdr>
                  <w:divsChild>
                    <w:div w:id="38117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647087">
      <w:bodyDiv w:val="1"/>
      <w:marLeft w:val="0"/>
      <w:marRight w:val="0"/>
      <w:marTop w:val="0"/>
      <w:marBottom w:val="0"/>
      <w:divBdr>
        <w:top w:val="none" w:sz="0" w:space="0" w:color="auto"/>
        <w:left w:val="none" w:sz="0" w:space="0" w:color="auto"/>
        <w:bottom w:val="none" w:sz="0" w:space="0" w:color="auto"/>
        <w:right w:val="none" w:sz="0" w:space="0" w:color="auto"/>
      </w:divBdr>
    </w:div>
    <w:div w:id="1225415606">
      <w:bodyDiv w:val="1"/>
      <w:marLeft w:val="0"/>
      <w:marRight w:val="0"/>
      <w:marTop w:val="0"/>
      <w:marBottom w:val="0"/>
      <w:divBdr>
        <w:top w:val="none" w:sz="0" w:space="0" w:color="auto"/>
        <w:left w:val="none" w:sz="0" w:space="0" w:color="auto"/>
        <w:bottom w:val="none" w:sz="0" w:space="0" w:color="auto"/>
        <w:right w:val="none" w:sz="0" w:space="0" w:color="auto"/>
      </w:divBdr>
    </w:div>
    <w:div w:id="1267494487">
      <w:bodyDiv w:val="1"/>
      <w:marLeft w:val="0"/>
      <w:marRight w:val="0"/>
      <w:marTop w:val="0"/>
      <w:marBottom w:val="0"/>
      <w:divBdr>
        <w:top w:val="none" w:sz="0" w:space="0" w:color="auto"/>
        <w:left w:val="none" w:sz="0" w:space="0" w:color="auto"/>
        <w:bottom w:val="none" w:sz="0" w:space="0" w:color="auto"/>
        <w:right w:val="none" w:sz="0" w:space="0" w:color="auto"/>
      </w:divBdr>
    </w:div>
    <w:div w:id="1299993928">
      <w:bodyDiv w:val="1"/>
      <w:marLeft w:val="0"/>
      <w:marRight w:val="0"/>
      <w:marTop w:val="0"/>
      <w:marBottom w:val="0"/>
      <w:divBdr>
        <w:top w:val="none" w:sz="0" w:space="0" w:color="auto"/>
        <w:left w:val="none" w:sz="0" w:space="0" w:color="auto"/>
        <w:bottom w:val="none" w:sz="0" w:space="0" w:color="auto"/>
        <w:right w:val="none" w:sz="0" w:space="0" w:color="auto"/>
      </w:divBdr>
      <w:divsChild>
        <w:div w:id="392656386">
          <w:marLeft w:val="0"/>
          <w:marRight w:val="0"/>
          <w:marTop w:val="0"/>
          <w:marBottom w:val="0"/>
          <w:divBdr>
            <w:top w:val="none" w:sz="0" w:space="0" w:color="auto"/>
            <w:left w:val="none" w:sz="0" w:space="0" w:color="auto"/>
            <w:bottom w:val="none" w:sz="0" w:space="0" w:color="auto"/>
            <w:right w:val="none" w:sz="0" w:space="0" w:color="auto"/>
          </w:divBdr>
          <w:divsChild>
            <w:div w:id="91751635">
              <w:marLeft w:val="0"/>
              <w:marRight w:val="0"/>
              <w:marTop w:val="0"/>
              <w:marBottom w:val="0"/>
              <w:divBdr>
                <w:top w:val="none" w:sz="0" w:space="0" w:color="auto"/>
                <w:left w:val="none" w:sz="0" w:space="0" w:color="auto"/>
                <w:bottom w:val="none" w:sz="0" w:space="0" w:color="auto"/>
                <w:right w:val="none" w:sz="0" w:space="0" w:color="auto"/>
              </w:divBdr>
              <w:divsChild>
                <w:div w:id="1609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970381">
      <w:bodyDiv w:val="1"/>
      <w:marLeft w:val="0"/>
      <w:marRight w:val="0"/>
      <w:marTop w:val="0"/>
      <w:marBottom w:val="0"/>
      <w:divBdr>
        <w:top w:val="none" w:sz="0" w:space="0" w:color="auto"/>
        <w:left w:val="none" w:sz="0" w:space="0" w:color="auto"/>
        <w:bottom w:val="none" w:sz="0" w:space="0" w:color="auto"/>
        <w:right w:val="none" w:sz="0" w:space="0" w:color="auto"/>
      </w:divBdr>
    </w:div>
    <w:div w:id="1510212883">
      <w:bodyDiv w:val="1"/>
      <w:marLeft w:val="0"/>
      <w:marRight w:val="0"/>
      <w:marTop w:val="0"/>
      <w:marBottom w:val="0"/>
      <w:divBdr>
        <w:top w:val="none" w:sz="0" w:space="0" w:color="auto"/>
        <w:left w:val="none" w:sz="0" w:space="0" w:color="auto"/>
        <w:bottom w:val="none" w:sz="0" w:space="0" w:color="auto"/>
        <w:right w:val="none" w:sz="0" w:space="0" w:color="auto"/>
      </w:divBdr>
    </w:div>
    <w:div w:id="1541817077">
      <w:bodyDiv w:val="1"/>
      <w:marLeft w:val="0"/>
      <w:marRight w:val="0"/>
      <w:marTop w:val="0"/>
      <w:marBottom w:val="0"/>
      <w:divBdr>
        <w:top w:val="none" w:sz="0" w:space="0" w:color="auto"/>
        <w:left w:val="none" w:sz="0" w:space="0" w:color="auto"/>
        <w:bottom w:val="none" w:sz="0" w:space="0" w:color="auto"/>
        <w:right w:val="none" w:sz="0" w:space="0" w:color="auto"/>
      </w:divBdr>
    </w:div>
    <w:div w:id="1628470914">
      <w:bodyDiv w:val="1"/>
      <w:marLeft w:val="0"/>
      <w:marRight w:val="0"/>
      <w:marTop w:val="0"/>
      <w:marBottom w:val="0"/>
      <w:divBdr>
        <w:top w:val="none" w:sz="0" w:space="0" w:color="auto"/>
        <w:left w:val="none" w:sz="0" w:space="0" w:color="auto"/>
        <w:bottom w:val="none" w:sz="0" w:space="0" w:color="auto"/>
        <w:right w:val="none" w:sz="0" w:space="0" w:color="auto"/>
      </w:divBdr>
    </w:div>
    <w:div w:id="1673950264">
      <w:bodyDiv w:val="1"/>
      <w:marLeft w:val="0"/>
      <w:marRight w:val="0"/>
      <w:marTop w:val="0"/>
      <w:marBottom w:val="0"/>
      <w:divBdr>
        <w:top w:val="none" w:sz="0" w:space="0" w:color="auto"/>
        <w:left w:val="none" w:sz="0" w:space="0" w:color="auto"/>
        <w:bottom w:val="none" w:sz="0" w:space="0" w:color="auto"/>
        <w:right w:val="none" w:sz="0" w:space="0" w:color="auto"/>
      </w:divBdr>
    </w:div>
    <w:div w:id="1732118119">
      <w:bodyDiv w:val="1"/>
      <w:marLeft w:val="0"/>
      <w:marRight w:val="0"/>
      <w:marTop w:val="0"/>
      <w:marBottom w:val="0"/>
      <w:divBdr>
        <w:top w:val="none" w:sz="0" w:space="0" w:color="auto"/>
        <w:left w:val="none" w:sz="0" w:space="0" w:color="auto"/>
        <w:bottom w:val="none" w:sz="0" w:space="0" w:color="auto"/>
        <w:right w:val="none" w:sz="0" w:space="0" w:color="auto"/>
      </w:divBdr>
      <w:divsChild>
        <w:div w:id="133303796">
          <w:marLeft w:val="0"/>
          <w:marRight w:val="0"/>
          <w:marTop w:val="0"/>
          <w:marBottom w:val="0"/>
          <w:divBdr>
            <w:top w:val="none" w:sz="0" w:space="0" w:color="auto"/>
            <w:left w:val="none" w:sz="0" w:space="0" w:color="auto"/>
            <w:bottom w:val="none" w:sz="0" w:space="0" w:color="auto"/>
            <w:right w:val="none" w:sz="0" w:space="0" w:color="auto"/>
          </w:divBdr>
          <w:divsChild>
            <w:div w:id="2050063963">
              <w:marLeft w:val="0"/>
              <w:marRight w:val="0"/>
              <w:marTop w:val="0"/>
              <w:marBottom w:val="0"/>
              <w:divBdr>
                <w:top w:val="none" w:sz="0" w:space="0" w:color="auto"/>
                <w:left w:val="none" w:sz="0" w:space="0" w:color="auto"/>
                <w:bottom w:val="none" w:sz="0" w:space="0" w:color="auto"/>
                <w:right w:val="none" w:sz="0" w:space="0" w:color="auto"/>
              </w:divBdr>
              <w:divsChild>
                <w:div w:id="1075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30403">
      <w:bodyDiv w:val="1"/>
      <w:marLeft w:val="0"/>
      <w:marRight w:val="0"/>
      <w:marTop w:val="0"/>
      <w:marBottom w:val="0"/>
      <w:divBdr>
        <w:top w:val="none" w:sz="0" w:space="0" w:color="auto"/>
        <w:left w:val="none" w:sz="0" w:space="0" w:color="auto"/>
        <w:bottom w:val="none" w:sz="0" w:space="0" w:color="auto"/>
        <w:right w:val="none" w:sz="0" w:space="0" w:color="auto"/>
      </w:divBdr>
    </w:div>
    <w:div w:id="1853568120">
      <w:bodyDiv w:val="1"/>
      <w:marLeft w:val="0"/>
      <w:marRight w:val="0"/>
      <w:marTop w:val="0"/>
      <w:marBottom w:val="0"/>
      <w:divBdr>
        <w:top w:val="none" w:sz="0" w:space="0" w:color="auto"/>
        <w:left w:val="none" w:sz="0" w:space="0" w:color="auto"/>
        <w:bottom w:val="none" w:sz="0" w:space="0" w:color="auto"/>
        <w:right w:val="none" w:sz="0" w:space="0" w:color="auto"/>
      </w:divBdr>
    </w:div>
    <w:div w:id="1873110285">
      <w:bodyDiv w:val="1"/>
      <w:marLeft w:val="0"/>
      <w:marRight w:val="0"/>
      <w:marTop w:val="0"/>
      <w:marBottom w:val="0"/>
      <w:divBdr>
        <w:top w:val="none" w:sz="0" w:space="0" w:color="auto"/>
        <w:left w:val="none" w:sz="0" w:space="0" w:color="auto"/>
        <w:bottom w:val="none" w:sz="0" w:space="0" w:color="auto"/>
        <w:right w:val="none" w:sz="0" w:space="0" w:color="auto"/>
      </w:divBdr>
    </w:div>
    <w:div w:id="1917744435">
      <w:bodyDiv w:val="1"/>
      <w:marLeft w:val="0"/>
      <w:marRight w:val="0"/>
      <w:marTop w:val="0"/>
      <w:marBottom w:val="0"/>
      <w:divBdr>
        <w:top w:val="none" w:sz="0" w:space="0" w:color="auto"/>
        <w:left w:val="none" w:sz="0" w:space="0" w:color="auto"/>
        <w:bottom w:val="none" w:sz="0" w:space="0" w:color="auto"/>
        <w:right w:val="none" w:sz="0" w:space="0" w:color="auto"/>
      </w:divBdr>
      <w:divsChild>
        <w:div w:id="163520964">
          <w:marLeft w:val="0"/>
          <w:marRight w:val="0"/>
          <w:marTop w:val="0"/>
          <w:marBottom w:val="0"/>
          <w:divBdr>
            <w:top w:val="none" w:sz="0" w:space="0" w:color="auto"/>
            <w:left w:val="none" w:sz="0" w:space="0" w:color="auto"/>
            <w:bottom w:val="none" w:sz="0" w:space="0" w:color="auto"/>
            <w:right w:val="none" w:sz="0" w:space="0" w:color="auto"/>
          </w:divBdr>
          <w:divsChild>
            <w:div w:id="1568614226">
              <w:marLeft w:val="0"/>
              <w:marRight w:val="0"/>
              <w:marTop w:val="0"/>
              <w:marBottom w:val="0"/>
              <w:divBdr>
                <w:top w:val="none" w:sz="0" w:space="0" w:color="auto"/>
                <w:left w:val="none" w:sz="0" w:space="0" w:color="auto"/>
                <w:bottom w:val="none" w:sz="0" w:space="0" w:color="auto"/>
                <w:right w:val="none" w:sz="0" w:space="0" w:color="auto"/>
              </w:divBdr>
              <w:divsChild>
                <w:div w:id="27741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981383">
      <w:bodyDiv w:val="1"/>
      <w:marLeft w:val="0"/>
      <w:marRight w:val="0"/>
      <w:marTop w:val="0"/>
      <w:marBottom w:val="0"/>
      <w:divBdr>
        <w:top w:val="none" w:sz="0" w:space="0" w:color="auto"/>
        <w:left w:val="none" w:sz="0" w:space="0" w:color="auto"/>
        <w:bottom w:val="none" w:sz="0" w:space="0" w:color="auto"/>
        <w:right w:val="none" w:sz="0" w:space="0" w:color="auto"/>
      </w:divBdr>
    </w:div>
    <w:div w:id="1965962835">
      <w:bodyDiv w:val="1"/>
      <w:marLeft w:val="0"/>
      <w:marRight w:val="0"/>
      <w:marTop w:val="0"/>
      <w:marBottom w:val="0"/>
      <w:divBdr>
        <w:top w:val="none" w:sz="0" w:space="0" w:color="auto"/>
        <w:left w:val="none" w:sz="0" w:space="0" w:color="auto"/>
        <w:bottom w:val="none" w:sz="0" w:space="0" w:color="auto"/>
        <w:right w:val="none" w:sz="0" w:space="0" w:color="auto"/>
      </w:divBdr>
    </w:div>
    <w:div w:id="2067677083">
      <w:bodyDiv w:val="1"/>
      <w:marLeft w:val="0"/>
      <w:marRight w:val="0"/>
      <w:marTop w:val="0"/>
      <w:marBottom w:val="0"/>
      <w:divBdr>
        <w:top w:val="none" w:sz="0" w:space="0" w:color="auto"/>
        <w:left w:val="none" w:sz="0" w:space="0" w:color="auto"/>
        <w:bottom w:val="none" w:sz="0" w:space="0" w:color="auto"/>
        <w:right w:val="none" w:sz="0" w:space="0" w:color="auto"/>
      </w:divBdr>
    </w:div>
    <w:div w:id="2081714625">
      <w:bodyDiv w:val="1"/>
      <w:marLeft w:val="0"/>
      <w:marRight w:val="0"/>
      <w:marTop w:val="0"/>
      <w:marBottom w:val="0"/>
      <w:divBdr>
        <w:top w:val="none" w:sz="0" w:space="0" w:color="auto"/>
        <w:left w:val="none" w:sz="0" w:space="0" w:color="auto"/>
        <w:bottom w:val="none" w:sz="0" w:space="0" w:color="auto"/>
        <w:right w:val="none" w:sz="0" w:space="0" w:color="auto"/>
      </w:divBdr>
    </w:div>
    <w:div w:id="20896885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3.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s://www.dol.gov/opa/aboutdol/lawsprog.htm?Tcode=OR010001"/>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1451</Words>
  <Characters>8275</Characters>
  <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