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11627" w14:textId="77777777" w:rsidR="003B4B68" w:rsidRDefault="003B4B68" w:rsidP="003B4B68">
      <w:pPr>
        <w:widowControl w:val="0"/>
        <w:autoSpaceDE w:val="0"/>
        <w:autoSpaceDN w:val="0"/>
        <w:adjustRightInd w:val="0"/>
        <w:spacing w:before="120" w:after="240" w:line="240" w:lineRule="auto"/>
        <w:jc w:val="center"/>
        <w:rPr>
          <w:rFonts w:ascii="MS Mincho" w:eastAsia="MS Mincho" w:hAnsi="MS Mincho" w:cs="MS Mincho"/>
          <w:sz w:val="24"/>
          <w:szCs w:val="24"/>
        </w:rPr>
      </w:pPr>
      <w:r w:rsidRPr="002B0D62">
        <w:rPr>
          <w:rFonts w:ascii="Times New Roman" w:hAnsi="Times New Roman" w:cs="Times New Roman"/>
          <w:b/>
          <w:sz w:val="24"/>
          <w:szCs w:val="24"/>
        </w:rPr>
        <w:t>Break Even Analysis</w:t>
      </w:r>
      <w:r w:rsidRPr="00BF1801">
        <w:rPr>
          <w:rFonts w:ascii="MS Mincho" w:eastAsia="MS Mincho" w:hAnsi="MS Mincho" w:cs="MS Mincho"/>
          <w:sz w:val="24"/>
          <w:szCs w:val="24"/>
        </w:rPr>
        <w:t> </w:t>
      </w:r>
    </w:p>
    <w:p w14:paraId="697BC0B7" w14:textId="77777777" w:rsidR="003B4B68" w:rsidRPr="00BF1801" w:rsidRDefault="003B4B68" w:rsidP="003B4B68">
      <w:pPr>
        <w:widowControl w:val="0"/>
        <w:autoSpaceDE w:val="0"/>
        <w:autoSpaceDN w:val="0"/>
        <w:adjustRightInd w:val="0"/>
        <w:spacing w:before="120" w:after="24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creation of a</w:t>
      </w:r>
      <w:r w:rsidRPr="00BF1801">
        <w:rPr>
          <w:rFonts w:ascii="Times New Roman" w:hAnsi="Times New Roman" w:cs="Times New Roman"/>
          <w:sz w:val="24"/>
          <w:szCs w:val="24"/>
        </w:rPr>
        <w:t xml:space="preserve"> break-even analysis is important </w:t>
      </w:r>
      <w:r>
        <w:rPr>
          <w:rFonts w:ascii="Times New Roman" w:hAnsi="Times New Roman" w:cs="Times New Roman"/>
          <w:sz w:val="24"/>
          <w:szCs w:val="24"/>
        </w:rPr>
        <w:t>to help</w:t>
      </w:r>
      <w:r w:rsidRPr="00BF1801">
        <w:rPr>
          <w:rFonts w:ascii="Times New Roman" w:hAnsi="Times New Roman" w:cs="Times New Roman"/>
          <w:sz w:val="24"/>
          <w:szCs w:val="24"/>
        </w:rPr>
        <w:t xml:space="preserve"> organizations to determine at which point the revenue received would equal out the cost associated for the project. For the example </w:t>
      </w:r>
      <w:r>
        <w:rPr>
          <w:rFonts w:ascii="Times New Roman" w:hAnsi="Times New Roman" w:cs="Times New Roman"/>
          <w:sz w:val="24"/>
          <w:szCs w:val="24"/>
        </w:rPr>
        <w:t>“F</w:t>
      </w:r>
      <w:r w:rsidRPr="00BF1801">
        <w:rPr>
          <w:rFonts w:ascii="Times New Roman" w:hAnsi="Times New Roman" w:cs="Times New Roman"/>
          <w:sz w:val="24"/>
          <w:szCs w:val="24"/>
        </w:rPr>
        <w:t>rom the front line</w:t>
      </w:r>
      <w:r>
        <w:rPr>
          <w:rFonts w:ascii="Times New Roman" w:hAnsi="Times New Roman" w:cs="Times New Roman"/>
          <w:sz w:val="24"/>
          <w:szCs w:val="24"/>
        </w:rPr>
        <w:t>s”</w:t>
      </w:r>
      <w:r w:rsidRPr="00BF1801">
        <w:rPr>
          <w:rFonts w:ascii="Times New Roman" w:hAnsi="Times New Roman" w:cs="Times New Roman"/>
          <w:sz w:val="24"/>
          <w:szCs w:val="24"/>
        </w:rPr>
        <w:t xml:space="preserve"> in our text, I was able to break even the net revenue and variable cost for the project in year 1 and year 2 through 5. However, I was unable to understand where the fixed cost for the full time employees of $336,000 comes into play with this analysis. From my understanding if I am doing it correctly, the breakeven for the total fixed cost for the first year is at $355,181.50; a difference of $19,181.50. The number is close to the $20,000 for the equipment purchase and renovation over time. The same analysis is done for year two through five as well. </w:t>
      </w:r>
    </w:p>
    <w:p w14:paraId="4B9D11B5" w14:textId="77777777" w:rsidR="003B4B68" w:rsidRDefault="003B4B68" w:rsidP="003B4B68">
      <w:pPr>
        <w:widowControl w:val="0"/>
        <w:autoSpaceDE w:val="0"/>
        <w:autoSpaceDN w:val="0"/>
        <w:adjustRightInd w:val="0"/>
        <w:spacing w:before="120" w:after="240" w:line="480" w:lineRule="auto"/>
        <w:jc w:val="left"/>
        <w:rPr>
          <w:rFonts w:ascii="Times" w:hAnsi="Times" w:cs="Times"/>
          <w:sz w:val="24"/>
          <w:szCs w:val="24"/>
        </w:rPr>
      </w:pPr>
      <w:r w:rsidRPr="00BF1801">
        <w:rPr>
          <w:rFonts w:ascii="Times New Roman" w:hAnsi="Times New Roman" w:cs="Times New Roman"/>
          <w:sz w:val="24"/>
          <w:szCs w:val="24"/>
        </w:rPr>
        <w:t>This break even analysis applies to various reimbursements such as Medical, Medicare and self-pay options understand certain areas where money can be spent. For the average net revenue, which is income received divided by three hundred sixty-five days to get an idea on a cost per day. Same goes with the variable cost, as in what is spent for the volume of service and dividing it by the days in the year to get a per day amount. When we look it a per day basis we can see clearly how much profit is made and when we can break even with all the fees associated.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3BD35CD" w14:textId="77777777" w:rsidR="003B4B68" w:rsidRDefault="003B4B68" w:rsidP="003B4B68">
      <w:pPr>
        <w:widowControl w:val="0"/>
        <w:autoSpaceDE w:val="0"/>
        <w:autoSpaceDN w:val="0"/>
        <w:adjustRightInd w:val="0"/>
        <w:spacing w:before="120" w:after="240" w:line="480" w:lineRule="auto"/>
        <w:jc w:val="lef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126"/>
          <w:szCs w:val="126"/>
        </w:rPr>
        <w:t xml:space="preserve"> </w:t>
      </w:r>
    </w:p>
    <w:p w14:paraId="6CC5ECA3" w14:textId="77777777" w:rsidR="003B4B68" w:rsidRDefault="003B4B68" w:rsidP="003B4B68">
      <w:pPr>
        <w:spacing w:before="120" w:line="480" w:lineRule="auto"/>
      </w:pPr>
    </w:p>
    <w:p w14:paraId="00140A07" w14:textId="77777777" w:rsidR="003B4B68" w:rsidRDefault="003B4B68" w:rsidP="003B4B68">
      <w:pPr>
        <w:spacing w:before="120" w:line="480" w:lineRule="auto"/>
      </w:pPr>
    </w:p>
    <w:p w14:paraId="1BD155BC" w14:textId="77777777" w:rsidR="003B4B68" w:rsidRDefault="003B4B68" w:rsidP="003B4B68">
      <w:pPr>
        <w:spacing w:before="120" w:line="480" w:lineRule="auto"/>
      </w:pPr>
    </w:p>
    <w:p w14:paraId="48D2C0B3" w14:textId="77777777" w:rsidR="003B4B68" w:rsidRDefault="003B4B68" w:rsidP="003B4B68">
      <w:pPr>
        <w:spacing w:before="120"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800"/>
        <w:gridCol w:w="1707"/>
        <w:gridCol w:w="2338"/>
      </w:tblGrid>
      <w:tr w:rsidR="003B4B68" w14:paraId="4890AE8F" w14:textId="77777777" w:rsidTr="00D316A7">
        <w:tc>
          <w:tcPr>
            <w:tcW w:w="3505" w:type="dxa"/>
          </w:tcPr>
          <w:p w14:paraId="58376B5E" w14:textId="77777777" w:rsidR="003B4B68" w:rsidRPr="00915DDD" w:rsidRDefault="003B4B68" w:rsidP="00D316A7">
            <w:pPr>
              <w:spacing w:before="12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Break Even – Year 1</w:t>
            </w:r>
          </w:p>
        </w:tc>
        <w:tc>
          <w:tcPr>
            <w:tcW w:w="1800" w:type="dxa"/>
          </w:tcPr>
          <w:p w14:paraId="611ED4E8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1707" w:type="dxa"/>
          </w:tcPr>
          <w:p w14:paraId="76DAA75D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2338" w:type="dxa"/>
          </w:tcPr>
          <w:p w14:paraId="3D5387E2" w14:textId="77777777" w:rsidR="003B4B68" w:rsidRDefault="003B4B68" w:rsidP="00D316A7">
            <w:pPr>
              <w:spacing w:before="120" w:line="480" w:lineRule="auto"/>
            </w:pPr>
          </w:p>
        </w:tc>
      </w:tr>
      <w:tr w:rsidR="003B4B68" w14:paraId="0CF6BD76" w14:textId="77777777" w:rsidTr="00D316A7">
        <w:trPr>
          <w:trHeight w:val="413"/>
        </w:trPr>
        <w:tc>
          <w:tcPr>
            <w:tcW w:w="3505" w:type="dxa"/>
          </w:tcPr>
          <w:p w14:paraId="71858C66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1800" w:type="dxa"/>
          </w:tcPr>
          <w:p w14:paraId="2B6806D6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1707" w:type="dxa"/>
          </w:tcPr>
          <w:p w14:paraId="50DB1B3B" w14:textId="77777777" w:rsidR="003B4B68" w:rsidRPr="00915DDD" w:rsidRDefault="003B4B68" w:rsidP="00D316A7">
            <w:pPr>
              <w:spacing w:before="120" w:line="480" w:lineRule="auto"/>
              <w:jc w:val="center"/>
              <w:rPr>
                <w:b/>
              </w:rPr>
            </w:pPr>
            <w:r w:rsidRPr="00915DDD">
              <w:rPr>
                <w:b/>
              </w:rPr>
              <w:t>Average</w:t>
            </w:r>
          </w:p>
        </w:tc>
        <w:tc>
          <w:tcPr>
            <w:tcW w:w="2338" w:type="dxa"/>
          </w:tcPr>
          <w:p w14:paraId="00B077F6" w14:textId="77777777" w:rsidR="003B4B68" w:rsidRPr="00915DDD" w:rsidRDefault="003B4B68" w:rsidP="00D316A7">
            <w:pPr>
              <w:spacing w:before="120" w:line="480" w:lineRule="auto"/>
              <w:jc w:val="center"/>
              <w:rPr>
                <w:b/>
              </w:rPr>
            </w:pPr>
            <w:r w:rsidRPr="00915DDD">
              <w:rPr>
                <w:b/>
              </w:rPr>
              <w:t>Per Day</w:t>
            </w:r>
          </w:p>
        </w:tc>
      </w:tr>
      <w:tr w:rsidR="003B4B68" w14:paraId="1352D3E7" w14:textId="77777777" w:rsidTr="00D316A7">
        <w:trPr>
          <w:trHeight w:val="476"/>
        </w:trPr>
        <w:tc>
          <w:tcPr>
            <w:tcW w:w="3505" w:type="dxa"/>
          </w:tcPr>
          <w:p w14:paraId="70CF07F8" w14:textId="77777777" w:rsidR="003B4B68" w:rsidRPr="00915DDD" w:rsidRDefault="003B4B68" w:rsidP="00D316A7">
            <w:pPr>
              <w:spacing w:before="120" w:line="480" w:lineRule="auto"/>
              <w:rPr>
                <w:b/>
              </w:rPr>
            </w:pPr>
            <w:r>
              <w:t xml:space="preserve">                                               </w:t>
            </w:r>
            <w:r w:rsidRPr="00915DDD">
              <w:rPr>
                <w:b/>
              </w:rPr>
              <w:t>Days in a year</w:t>
            </w:r>
          </w:p>
        </w:tc>
        <w:tc>
          <w:tcPr>
            <w:tcW w:w="1800" w:type="dxa"/>
          </w:tcPr>
          <w:p w14:paraId="5171B1F6" w14:textId="77777777" w:rsidR="003B4B68" w:rsidRDefault="003B4B68" w:rsidP="00D316A7">
            <w:pPr>
              <w:spacing w:before="120" w:line="480" w:lineRule="auto"/>
            </w:pPr>
            <w:r>
              <w:t xml:space="preserve">                          365</w:t>
            </w:r>
          </w:p>
        </w:tc>
        <w:tc>
          <w:tcPr>
            <w:tcW w:w="1707" w:type="dxa"/>
          </w:tcPr>
          <w:p w14:paraId="11C50C27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2338" w:type="dxa"/>
          </w:tcPr>
          <w:p w14:paraId="4F6FE937" w14:textId="77777777" w:rsidR="003B4B68" w:rsidRDefault="003B4B68" w:rsidP="00D316A7">
            <w:pPr>
              <w:spacing w:before="120" w:line="480" w:lineRule="auto"/>
            </w:pPr>
          </w:p>
        </w:tc>
      </w:tr>
      <w:tr w:rsidR="003B4B68" w14:paraId="35A9E47E" w14:textId="77777777" w:rsidTr="00D316A7">
        <w:tc>
          <w:tcPr>
            <w:tcW w:w="3505" w:type="dxa"/>
          </w:tcPr>
          <w:p w14:paraId="6B97EE20" w14:textId="77777777" w:rsidR="003B4B68" w:rsidRPr="00915DDD" w:rsidRDefault="003B4B68" w:rsidP="00D316A7">
            <w:pPr>
              <w:spacing w:before="120" w:line="480" w:lineRule="auto"/>
              <w:rPr>
                <w:b/>
              </w:rPr>
            </w:pPr>
            <w:r>
              <w:t xml:space="preserve">                                               </w:t>
            </w:r>
            <w:r w:rsidRPr="00915DDD">
              <w:rPr>
                <w:b/>
              </w:rPr>
              <w:t>Net Revenue</w:t>
            </w:r>
          </w:p>
        </w:tc>
        <w:tc>
          <w:tcPr>
            <w:tcW w:w="1800" w:type="dxa"/>
          </w:tcPr>
          <w:p w14:paraId="3E973E15" w14:textId="77777777" w:rsidR="003B4B68" w:rsidRDefault="003B4B68" w:rsidP="00D316A7">
            <w:pPr>
              <w:spacing w:before="120" w:line="480" w:lineRule="auto"/>
            </w:pPr>
            <w:r>
              <w:t xml:space="preserve">                         $885</w:t>
            </w:r>
          </w:p>
        </w:tc>
        <w:tc>
          <w:tcPr>
            <w:tcW w:w="1707" w:type="dxa"/>
          </w:tcPr>
          <w:p w14:paraId="4B357A3A" w14:textId="77777777" w:rsidR="003B4B68" w:rsidRDefault="003B4B68" w:rsidP="00D316A7">
            <w:pPr>
              <w:spacing w:before="120" w:line="480" w:lineRule="auto"/>
            </w:pPr>
            <w:r>
              <w:t xml:space="preserve">      $442,500</w:t>
            </w:r>
          </w:p>
        </w:tc>
        <w:tc>
          <w:tcPr>
            <w:tcW w:w="2338" w:type="dxa"/>
          </w:tcPr>
          <w:p w14:paraId="5D9EF1AA" w14:textId="77777777" w:rsidR="003B4B68" w:rsidRDefault="003B4B68" w:rsidP="00D316A7">
            <w:pPr>
              <w:spacing w:before="120" w:line="480" w:lineRule="auto"/>
            </w:pPr>
            <w:r>
              <w:t xml:space="preserve">             $1,212.33</w:t>
            </w:r>
          </w:p>
        </w:tc>
      </w:tr>
      <w:tr w:rsidR="003B4B68" w14:paraId="0254D5CA" w14:textId="77777777" w:rsidTr="00D316A7">
        <w:tc>
          <w:tcPr>
            <w:tcW w:w="3505" w:type="dxa"/>
          </w:tcPr>
          <w:p w14:paraId="51AF9887" w14:textId="77777777" w:rsidR="003B4B68" w:rsidRPr="00915DDD" w:rsidRDefault="003B4B68" w:rsidP="00D316A7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915DDD">
              <w:rPr>
                <w:b/>
              </w:rPr>
              <w:t>Variable Cost</w:t>
            </w:r>
          </w:p>
        </w:tc>
        <w:tc>
          <w:tcPr>
            <w:tcW w:w="1800" w:type="dxa"/>
          </w:tcPr>
          <w:p w14:paraId="587B5C51" w14:textId="77777777" w:rsidR="003B4B68" w:rsidRDefault="003B4B68" w:rsidP="00D316A7">
            <w:pPr>
              <w:spacing w:before="120" w:line="480" w:lineRule="auto"/>
            </w:pPr>
            <w:r>
              <w:t xml:space="preserve">                         $175</w:t>
            </w:r>
          </w:p>
        </w:tc>
        <w:tc>
          <w:tcPr>
            <w:tcW w:w="1707" w:type="dxa"/>
          </w:tcPr>
          <w:p w14:paraId="0F917123" w14:textId="77777777" w:rsidR="003B4B68" w:rsidRDefault="003B4B68" w:rsidP="00D316A7">
            <w:pPr>
              <w:spacing w:before="120" w:line="480" w:lineRule="auto"/>
            </w:pPr>
            <w:r>
              <w:t xml:space="preserve">      $     87,500</w:t>
            </w:r>
          </w:p>
        </w:tc>
        <w:tc>
          <w:tcPr>
            <w:tcW w:w="2338" w:type="dxa"/>
          </w:tcPr>
          <w:p w14:paraId="59ADF9CB" w14:textId="77777777" w:rsidR="003B4B68" w:rsidRDefault="003B4B68" w:rsidP="00D316A7">
            <w:pPr>
              <w:spacing w:before="120" w:line="480" w:lineRule="auto"/>
            </w:pPr>
            <w:r>
              <w:t xml:space="preserve">             $    239.73</w:t>
            </w:r>
          </w:p>
        </w:tc>
      </w:tr>
      <w:tr w:rsidR="003B4B68" w14:paraId="006ED429" w14:textId="77777777" w:rsidTr="00D316A7">
        <w:tc>
          <w:tcPr>
            <w:tcW w:w="3505" w:type="dxa"/>
          </w:tcPr>
          <w:p w14:paraId="0B9A4F39" w14:textId="77777777" w:rsidR="003B4B68" w:rsidRPr="00915DDD" w:rsidRDefault="003B4B68" w:rsidP="00D316A7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Pr="00915DDD">
              <w:rPr>
                <w:b/>
              </w:rPr>
              <w:t>Number of Procedures</w:t>
            </w:r>
          </w:p>
        </w:tc>
        <w:tc>
          <w:tcPr>
            <w:tcW w:w="1800" w:type="dxa"/>
          </w:tcPr>
          <w:p w14:paraId="39DDF0F6" w14:textId="77777777" w:rsidR="003B4B68" w:rsidRDefault="003B4B68" w:rsidP="00D316A7">
            <w:pPr>
              <w:spacing w:before="120" w:line="480" w:lineRule="auto"/>
            </w:pPr>
            <w:r>
              <w:t xml:space="preserve">                           500</w:t>
            </w:r>
          </w:p>
        </w:tc>
        <w:tc>
          <w:tcPr>
            <w:tcW w:w="1707" w:type="dxa"/>
          </w:tcPr>
          <w:p w14:paraId="1271E121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2338" w:type="dxa"/>
          </w:tcPr>
          <w:p w14:paraId="35D67C64" w14:textId="77777777" w:rsidR="003B4B68" w:rsidRDefault="003B4B68" w:rsidP="00D316A7">
            <w:pPr>
              <w:spacing w:before="120" w:line="480" w:lineRule="auto"/>
            </w:pPr>
          </w:p>
        </w:tc>
      </w:tr>
      <w:tr w:rsidR="003B4B68" w14:paraId="5BB754A7" w14:textId="77777777" w:rsidTr="00D316A7">
        <w:tc>
          <w:tcPr>
            <w:tcW w:w="3505" w:type="dxa"/>
          </w:tcPr>
          <w:p w14:paraId="36CDD57A" w14:textId="77777777" w:rsidR="003B4B68" w:rsidRDefault="003B4B68" w:rsidP="00D316A7">
            <w:pPr>
              <w:widowControl w:val="0"/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</w:tcPr>
          <w:p w14:paraId="11838616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1707" w:type="dxa"/>
          </w:tcPr>
          <w:p w14:paraId="7DBBB3FC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2338" w:type="dxa"/>
          </w:tcPr>
          <w:p w14:paraId="24F4BB04" w14:textId="77777777" w:rsidR="003B4B68" w:rsidRDefault="003B4B68" w:rsidP="00D316A7">
            <w:pPr>
              <w:spacing w:before="120" w:line="480" w:lineRule="auto"/>
            </w:pPr>
          </w:p>
        </w:tc>
      </w:tr>
      <w:tr w:rsidR="003B4B68" w14:paraId="53977777" w14:textId="77777777" w:rsidTr="00D316A7">
        <w:tc>
          <w:tcPr>
            <w:tcW w:w="3505" w:type="dxa"/>
          </w:tcPr>
          <w:p w14:paraId="23378075" w14:textId="77777777" w:rsidR="003B4B68" w:rsidRPr="00915DDD" w:rsidRDefault="003B4B68" w:rsidP="00D316A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DD">
              <w:rPr>
                <w:rFonts w:ascii="Times New Roman" w:hAnsi="Times New Roman" w:cs="Times New Roman"/>
                <w:b/>
                <w:sz w:val="24"/>
                <w:szCs w:val="24"/>
              </w:rPr>
              <w:t>Break Even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DDD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D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D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14:paraId="2347D0A9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1707" w:type="dxa"/>
          </w:tcPr>
          <w:p w14:paraId="151CBA2A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2338" w:type="dxa"/>
          </w:tcPr>
          <w:p w14:paraId="0A1E9DC6" w14:textId="77777777" w:rsidR="003B4B68" w:rsidRDefault="003B4B68" w:rsidP="00D316A7">
            <w:pPr>
              <w:spacing w:before="120" w:line="480" w:lineRule="auto"/>
            </w:pPr>
          </w:p>
        </w:tc>
      </w:tr>
      <w:tr w:rsidR="003B4B68" w14:paraId="04BB5944" w14:textId="77777777" w:rsidTr="00D316A7">
        <w:trPr>
          <w:trHeight w:val="629"/>
        </w:trPr>
        <w:tc>
          <w:tcPr>
            <w:tcW w:w="3505" w:type="dxa"/>
          </w:tcPr>
          <w:p w14:paraId="74CEF575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1800" w:type="dxa"/>
          </w:tcPr>
          <w:p w14:paraId="42AB728E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1707" w:type="dxa"/>
          </w:tcPr>
          <w:p w14:paraId="46567E8A" w14:textId="77777777" w:rsidR="003B4B68" w:rsidRPr="002E75E3" w:rsidRDefault="003B4B68" w:rsidP="00D316A7">
            <w:pPr>
              <w:spacing w:before="120" w:line="480" w:lineRule="auto"/>
              <w:jc w:val="center"/>
              <w:rPr>
                <w:b/>
              </w:rPr>
            </w:pPr>
            <w:r w:rsidRPr="002E75E3">
              <w:rPr>
                <w:b/>
              </w:rPr>
              <w:t>Average</w:t>
            </w:r>
          </w:p>
        </w:tc>
        <w:tc>
          <w:tcPr>
            <w:tcW w:w="2338" w:type="dxa"/>
          </w:tcPr>
          <w:p w14:paraId="7F413C83" w14:textId="77777777" w:rsidR="003B4B68" w:rsidRPr="002E75E3" w:rsidRDefault="003B4B68" w:rsidP="00D316A7">
            <w:pPr>
              <w:spacing w:before="120" w:line="480" w:lineRule="auto"/>
              <w:jc w:val="center"/>
              <w:rPr>
                <w:b/>
              </w:rPr>
            </w:pPr>
            <w:r w:rsidRPr="002E75E3">
              <w:rPr>
                <w:b/>
              </w:rPr>
              <w:t>Per Day</w:t>
            </w:r>
          </w:p>
        </w:tc>
      </w:tr>
      <w:tr w:rsidR="003B4B68" w14:paraId="17A8E8F2" w14:textId="77777777" w:rsidTr="00D316A7">
        <w:tc>
          <w:tcPr>
            <w:tcW w:w="3505" w:type="dxa"/>
          </w:tcPr>
          <w:p w14:paraId="225C39EE" w14:textId="77777777" w:rsidR="003B4B68" w:rsidRPr="00915DDD" w:rsidRDefault="003B4B68" w:rsidP="00D316A7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915DDD">
              <w:rPr>
                <w:b/>
              </w:rPr>
              <w:t>Days in a year</w:t>
            </w:r>
          </w:p>
        </w:tc>
        <w:tc>
          <w:tcPr>
            <w:tcW w:w="1800" w:type="dxa"/>
          </w:tcPr>
          <w:p w14:paraId="47272A17" w14:textId="77777777" w:rsidR="003B4B68" w:rsidRDefault="003B4B68" w:rsidP="00D316A7">
            <w:pPr>
              <w:spacing w:before="120" w:line="480" w:lineRule="auto"/>
            </w:pPr>
            <w:r>
              <w:t xml:space="preserve">                            365</w:t>
            </w:r>
          </w:p>
        </w:tc>
        <w:tc>
          <w:tcPr>
            <w:tcW w:w="1707" w:type="dxa"/>
          </w:tcPr>
          <w:p w14:paraId="44868AE6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2338" w:type="dxa"/>
          </w:tcPr>
          <w:p w14:paraId="788B6B86" w14:textId="77777777" w:rsidR="003B4B68" w:rsidRDefault="003B4B68" w:rsidP="00D316A7">
            <w:pPr>
              <w:spacing w:before="120" w:line="480" w:lineRule="auto"/>
            </w:pPr>
          </w:p>
        </w:tc>
      </w:tr>
      <w:tr w:rsidR="003B4B68" w14:paraId="39CA6469" w14:textId="77777777" w:rsidTr="00D316A7">
        <w:tc>
          <w:tcPr>
            <w:tcW w:w="3505" w:type="dxa"/>
          </w:tcPr>
          <w:p w14:paraId="45FD49BB" w14:textId="77777777" w:rsidR="003B4B68" w:rsidRPr="00915DDD" w:rsidRDefault="003B4B68" w:rsidP="00D316A7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 w:rsidRPr="00915DDD">
              <w:rPr>
                <w:b/>
              </w:rPr>
              <w:t>Net Revenue</w:t>
            </w:r>
          </w:p>
        </w:tc>
        <w:tc>
          <w:tcPr>
            <w:tcW w:w="1800" w:type="dxa"/>
          </w:tcPr>
          <w:p w14:paraId="21025F28" w14:textId="77777777" w:rsidR="003B4B68" w:rsidRDefault="003B4B68" w:rsidP="00D316A7">
            <w:pPr>
              <w:spacing w:before="120" w:line="480" w:lineRule="auto"/>
            </w:pPr>
            <w:r>
              <w:t xml:space="preserve">                        $  885</w:t>
            </w:r>
          </w:p>
        </w:tc>
        <w:tc>
          <w:tcPr>
            <w:tcW w:w="1707" w:type="dxa"/>
          </w:tcPr>
          <w:p w14:paraId="73093B4C" w14:textId="77777777" w:rsidR="003B4B68" w:rsidRDefault="003B4B68" w:rsidP="00D316A7">
            <w:pPr>
              <w:spacing w:before="120" w:line="480" w:lineRule="auto"/>
            </w:pPr>
            <w:r>
              <w:t xml:space="preserve">            $752,250</w:t>
            </w:r>
          </w:p>
        </w:tc>
        <w:tc>
          <w:tcPr>
            <w:tcW w:w="2338" w:type="dxa"/>
          </w:tcPr>
          <w:p w14:paraId="4434D489" w14:textId="77777777" w:rsidR="003B4B68" w:rsidRDefault="003B4B68" w:rsidP="00D316A7">
            <w:pPr>
              <w:spacing w:before="120" w:line="480" w:lineRule="auto"/>
              <w:jc w:val="center"/>
            </w:pPr>
            <w:r>
              <w:t>$2,060.96</w:t>
            </w:r>
          </w:p>
        </w:tc>
      </w:tr>
      <w:tr w:rsidR="003B4B68" w14:paraId="25FE6800" w14:textId="77777777" w:rsidTr="00D316A7">
        <w:tc>
          <w:tcPr>
            <w:tcW w:w="3505" w:type="dxa"/>
          </w:tcPr>
          <w:p w14:paraId="247AE56A" w14:textId="77777777" w:rsidR="003B4B68" w:rsidRPr="00915DDD" w:rsidRDefault="003B4B68" w:rsidP="00D316A7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  <w:r w:rsidRPr="00915DDD">
              <w:rPr>
                <w:b/>
              </w:rPr>
              <w:t>Variable Cost</w:t>
            </w:r>
          </w:p>
        </w:tc>
        <w:tc>
          <w:tcPr>
            <w:tcW w:w="1800" w:type="dxa"/>
          </w:tcPr>
          <w:p w14:paraId="19BFE21C" w14:textId="77777777" w:rsidR="003B4B68" w:rsidRDefault="003B4B68" w:rsidP="00D316A7">
            <w:pPr>
              <w:spacing w:before="120" w:line="480" w:lineRule="auto"/>
            </w:pPr>
            <w:r>
              <w:t xml:space="preserve">                        $  175</w:t>
            </w:r>
          </w:p>
        </w:tc>
        <w:tc>
          <w:tcPr>
            <w:tcW w:w="1707" w:type="dxa"/>
          </w:tcPr>
          <w:p w14:paraId="71521466" w14:textId="77777777" w:rsidR="003B4B68" w:rsidRDefault="003B4B68" w:rsidP="00D316A7">
            <w:pPr>
              <w:spacing w:before="120" w:line="480" w:lineRule="auto"/>
            </w:pPr>
            <w:r>
              <w:t xml:space="preserve">             $148,750</w:t>
            </w:r>
          </w:p>
        </w:tc>
        <w:tc>
          <w:tcPr>
            <w:tcW w:w="2338" w:type="dxa"/>
          </w:tcPr>
          <w:p w14:paraId="74E59126" w14:textId="77777777" w:rsidR="003B4B68" w:rsidRDefault="003B4B68" w:rsidP="00D316A7">
            <w:pPr>
              <w:spacing w:before="120" w:line="480" w:lineRule="auto"/>
              <w:jc w:val="center"/>
            </w:pPr>
            <w:r>
              <w:t>$407.53</w:t>
            </w:r>
          </w:p>
        </w:tc>
      </w:tr>
      <w:tr w:rsidR="003B4B68" w14:paraId="638B95FF" w14:textId="77777777" w:rsidTr="00D316A7">
        <w:tc>
          <w:tcPr>
            <w:tcW w:w="3505" w:type="dxa"/>
          </w:tcPr>
          <w:p w14:paraId="2BE891F5" w14:textId="77777777" w:rsidR="003B4B68" w:rsidRPr="00915DDD" w:rsidRDefault="003B4B68" w:rsidP="00D316A7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Pr="00915DDD">
              <w:rPr>
                <w:b/>
              </w:rPr>
              <w:t>Number of Procedures</w:t>
            </w:r>
          </w:p>
        </w:tc>
        <w:tc>
          <w:tcPr>
            <w:tcW w:w="1800" w:type="dxa"/>
          </w:tcPr>
          <w:p w14:paraId="14342233" w14:textId="77777777" w:rsidR="003B4B68" w:rsidRDefault="003B4B68" w:rsidP="00D316A7">
            <w:pPr>
              <w:spacing w:before="120" w:line="480" w:lineRule="auto"/>
            </w:pPr>
            <w:r>
              <w:t xml:space="preserve">                            850</w:t>
            </w:r>
          </w:p>
        </w:tc>
        <w:tc>
          <w:tcPr>
            <w:tcW w:w="1707" w:type="dxa"/>
          </w:tcPr>
          <w:p w14:paraId="2F10A8DD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2338" w:type="dxa"/>
          </w:tcPr>
          <w:p w14:paraId="2D2AF1D0" w14:textId="77777777" w:rsidR="003B4B68" w:rsidRDefault="003B4B68" w:rsidP="00D316A7">
            <w:pPr>
              <w:spacing w:before="120" w:line="480" w:lineRule="auto"/>
            </w:pPr>
          </w:p>
        </w:tc>
      </w:tr>
      <w:tr w:rsidR="003B4B68" w14:paraId="2F8DF7B5" w14:textId="77777777" w:rsidTr="00D316A7">
        <w:tc>
          <w:tcPr>
            <w:tcW w:w="3505" w:type="dxa"/>
          </w:tcPr>
          <w:p w14:paraId="7D0644E1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1800" w:type="dxa"/>
          </w:tcPr>
          <w:p w14:paraId="748D657E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1707" w:type="dxa"/>
          </w:tcPr>
          <w:p w14:paraId="6F7B996B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2338" w:type="dxa"/>
          </w:tcPr>
          <w:p w14:paraId="73B98771" w14:textId="77777777" w:rsidR="003B4B68" w:rsidRDefault="003B4B68" w:rsidP="00D316A7">
            <w:pPr>
              <w:spacing w:before="120" w:line="480" w:lineRule="auto"/>
            </w:pPr>
          </w:p>
        </w:tc>
      </w:tr>
      <w:tr w:rsidR="003B4B68" w14:paraId="29CE53E2" w14:textId="77777777" w:rsidTr="00D316A7">
        <w:tc>
          <w:tcPr>
            <w:tcW w:w="3505" w:type="dxa"/>
          </w:tcPr>
          <w:p w14:paraId="7464A5C1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1800" w:type="dxa"/>
          </w:tcPr>
          <w:p w14:paraId="5437D67F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1707" w:type="dxa"/>
          </w:tcPr>
          <w:p w14:paraId="7D2CA9DD" w14:textId="77777777" w:rsidR="003B4B68" w:rsidRDefault="003B4B68" w:rsidP="00D316A7">
            <w:pPr>
              <w:spacing w:before="120" w:line="480" w:lineRule="auto"/>
            </w:pPr>
          </w:p>
        </w:tc>
        <w:tc>
          <w:tcPr>
            <w:tcW w:w="2338" w:type="dxa"/>
          </w:tcPr>
          <w:p w14:paraId="357D7A6C" w14:textId="77777777" w:rsidR="003B4B68" w:rsidRDefault="003B4B68" w:rsidP="00D316A7">
            <w:pPr>
              <w:spacing w:before="120" w:line="480" w:lineRule="auto"/>
            </w:pPr>
          </w:p>
        </w:tc>
      </w:tr>
    </w:tbl>
    <w:p w14:paraId="6B74C5FD" w14:textId="77777777" w:rsidR="003B4B68" w:rsidRDefault="003B4B68" w:rsidP="003B4B68">
      <w:pPr>
        <w:spacing w:before="120" w:line="480" w:lineRule="auto"/>
      </w:pPr>
    </w:p>
    <w:p w14:paraId="79DC6049" w14:textId="77777777" w:rsidR="003B4B68" w:rsidRPr="00AE4E13" w:rsidRDefault="003B4B68" w:rsidP="003B4B68">
      <w:pPr>
        <w:spacing w:line="480" w:lineRule="auto"/>
        <w:rPr>
          <w:rFonts w:ascii="Times New Roman" w:hAnsi="Times New Roman"/>
          <w:sz w:val="24"/>
          <w:szCs w:val="24"/>
        </w:rPr>
      </w:pPr>
      <w:r w:rsidRPr="00AE4E13">
        <w:rPr>
          <w:rFonts w:ascii="Times New Roman" w:hAnsi="Times New Roman"/>
          <w:sz w:val="24"/>
          <w:szCs w:val="24"/>
        </w:rPr>
        <w:t>Break-even operations = TFC / (ANR - AVC)</w:t>
      </w:r>
    </w:p>
    <w:p w14:paraId="1666C795" w14:textId="77777777" w:rsidR="003B4B68" w:rsidRPr="00AE4E13" w:rsidRDefault="003B4B68" w:rsidP="003B4B68">
      <w:pPr>
        <w:spacing w:line="480" w:lineRule="auto"/>
        <w:rPr>
          <w:rFonts w:ascii="Times New Roman" w:hAnsi="Times New Roman"/>
          <w:sz w:val="24"/>
          <w:szCs w:val="24"/>
        </w:rPr>
      </w:pPr>
      <w:r w:rsidRPr="00AE4E13">
        <w:rPr>
          <w:rFonts w:ascii="Times New Roman" w:hAnsi="Times New Roman"/>
          <w:sz w:val="24"/>
          <w:szCs w:val="24"/>
        </w:rPr>
        <w:t>The average fixed cost (TFC) is the total fixed cost for each unit of output.</w:t>
      </w:r>
    </w:p>
    <w:p w14:paraId="00036ABC" w14:textId="77777777" w:rsidR="003B4B68" w:rsidRPr="00AE4E13" w:rsidRDefault="003B4B68" w:rsidP="003B4B68">
      <w:pPr>
        <w:spacing w:line="480" w:lineRule="auto"/>
        <w:rPr>
          <w:rFonts w:ascii="Times New Roman" w:hAnsi="Times New Roman"/>
          <w:sz w:val="24"/>
          <w:szCs w:val="24"/>
        </w:rPr>
      </w:pPr>
      <w:r w:rsidRPr="00AE4E13">
        <w:rPr>
          <w:rFonts w:ascii="Times New Roman" w:hAnsi="Times New Roman"/>
          <w:sz w:val="24"/>
          <w:szCs w:val="24"/>
        </w:rPr>
        <w:t>The Average variable cost (AVC) is the total variable cost per each unit of output.</w:t>
      </w:r>
    </w:p>
    <w:p w14:paraId="1E226C57" w14:textId="77777777" w:rsidR="003B4B68" w:rsidRDefault="003B4B68" w:rsidP="003B4B68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AE4E13">
        <w:rPr>
          <w:rFonts w:ascii="Times New Roman" w:hAnsi="Times New Roman"/>
          <w:sz w:val="24"/>
          <w:szCs w:val="24"/>
        </w:rPr>
        <w:t xml:space="preserve">At the breakeven point, the total costs will be equal to the variable costs. </w:t>
      </w:r>
      <w:r w:rsidRPr="00FC7CD2">
        <w:rPr>
          <w:rFonts w:ascii="Times New Roman" w:hAnsi="Times New Roman"/>
          <w:noProof/>
          <w:sz w:val="24"/>
          <w:szCs w:val="24"/>
        </w:rPr>
        <w:t>This means</w:t>
      </w:r>
      <w:r w:rsidRPr="00AE4E13">
        <w:rPr>
          <w:rFonts w:ascii="Times New Roman" w:hAnsi="Times New Roman"/>
          <w:sz w:val="24"/>
          <w:szCs w:val="24"/>
        </w:rPr>
        <w:t xml:space="preserve"> that if we subtract the costs from the revenues, the result will be zero.</w:t>
      </w:r>
    </w:p>
    <w:p w14:paraId="29A3085F" w14:textId="77777777" w:rsidR="003B4B68" w:rsidRPr="00B25472" w:rsidRDefault="003B4B68" w:rsidP="003B4B68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B25472">
        <w:rPr>
          <w:rFonts w:ascii="Times New Roman" w:hAnsi="Times New Roman" w:cs="Times New Roman"/>
          <w:sz w:val="24"/>
          <w:szCs w:val="24"/>
        </w:rPr>
        <w:t>YEAR 1</w:t>
      </w:r>
    </w:p>
    <w:p w14:paraId="6E84DFBD" w14:textId="77777777" w:rsidR="003B4B68" w:rsidRDefault="003B4B68" w:rsidP="003B4B6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B25472">
        <w:rPr>
          <w:rFonts w:ascii="Times New Roman" w:hAnsi="Times New Roman" w:cs="Times New Roman"/>
          <w:sz w:val="24"/>
          <w:szCs w:val="24"/>
        </w:rPr>
        <w:t>Break Even TFC=V</w:t>
      </w:r>
      <w:r w:rsidRPr="00B25472">
        <w:rPr>
          <w:rFonts w:ascii="Times New Roman" w:hAnsi="Times New Roman" w:cs="Times New Roman"/>
          <w:color w:val="FF0000"/>
          <w:sz w:val="24"/>
          <w:szCs w:val="24"/>
        </w:rPr>
        <w:t>365</w:t>
      </w:r>
      <w:r w:rsidRPr="00B25472">
        <w:rPr>
          <w:rFonts w:ascii="Times New Roman" w:hAnsi="Times New Roman" w:cs="Times New Roman"/>
          <w:sz w:val="24"/>
          <w:szCs w:val="24"/>
        </w:rPr>
        <w:t xml:space="preserve">*(ANR </w:t>
      </w:r>
      <w:r w:rsidRPr="00B25472">
        <w:rPr>
          <w:rFonts w:ascii="Times New Roman" w:hAnsi="Times New Roman" w:cs="Times New Roman"/>
          <w:color w:val="FF0000"/>
          <w:sz w:val="24"/>
          <w:szCs w:val="24"/>
        </w:rPr>
        <w:t>1,212.33</w:t>
      </w:r>
      <w:r w:rsidRPr="00B25472">
        <w:rPr>
          <w:rFonts w:ascii="Times New Roman" w:hAnsi="Times New Roman" w:cs="Times New Roman"/>
          <w:sz w:val="24"/>
          <w:szCs w:val="24"/>
        </w:rPr>
        <w:t xml:space="preserve">-AVC </w:t>
      </w:r>
      <w:r w:rsidRPr="00B25472">
        <w:rPr>
          <w:rFonts w:ascii="Times New Roman" w:hAnsi="Times New Roman" w:cs="Times New Roman"/>
          <w:color w:val="FF0000"/>
          <w:sz w:val="24"/>
          <w:szCs w:val="24"/>
        </w:rPr>
        <w:t>239.73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= </w:t>
      </w:r>
      <w:r w:rsidRPr="00B25472">
        <w:rPr>
          <w:rFonts w:ascii="Times New Roman" w:hAnsi="Times New Roman" w:cs="Times New Roman"/>
          <w:color w:val="000000" w:themeColor="text1"/>
          <w:sz w:val="24"/>
          <w:szCs w:val="24"/>
        </w:rPr>
        <w:t>$ 355,181.50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Break even TFC</w:t>
      </w:r>
    </w:p>
    <w:p w14:paraId="7A885932" w14:textId="77777777" w:rsidR="003B4B68" w:rsidRDefault="003B4B68" w:rsidP="003B4B6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14:paraId="5BD2BB3D" w14:textId="77777777" w:rsidR="003B4B68" w:rsidRPr="00B25472" w:rsidRDefault="003B4B68" w:rsidP="003B4B6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25472">
        <w:rPr>
          <w:rFonts w:ascii="Times New Roman" w:hAnsi="Times New Roman" w:cs="Times New Roman"/>
          <w:sz w:val="24"/>
          <w:szCs w:val="24"/>
        </w:rPr>
        <w:t>Break Even ANR=AVC</w:t>
      </w:r>
      <w:r w:rsidRPr="00B25472">
        <w:rPr>
          <w:rFonts w:ascii="Times New Roman" w:hAnsi="Times New Roman" w:cs="Times New Roman"/>
          <w:color w:val="FF0000"/>
          <w:sz w:val="24"/>
          <w:szCs w:val="24"/>
        </w:rPr>
        <w:t xml:space="preserve">239.73 </w:t>
      </w:r>
      <w:r w:rsidRPr="00B25472">
        <w:rPr>
          <w:rFonts w:ascii="Times New Roman" w:hAnsi="Times New Roman" w:cs="Times New Roman"/>
          <w:sz w:val="24"/>
          <w:szCs w:val="24"/>
        </w:rPr>
        <w:t>+ (</w:t>
      </w:r>
      <w:r w:rsidRPr="00B25472">
        <w:rPr>
          <w:rFonts w:ascii="Times New Roman" w:hAnsi="Times New Roman" w:cs="Times New Roman"/>
          <w:color w:val="FF0000"/>
          <w:sz w:val="24"/>
          <w:szCs w:val="24"/>
        </w:rPr>
        <w:t>TFC355,181.50</w:t>
      </w:r>
      <w:r w:rsidRPr="00B25472">
        <w:rPr>
          <w:rFonts w:ascii="Times New Roman" w:hAnsi="Times New Roman" w:cs="Times New Roman"/>
          <w:sz w:val="24"/>
          <w:szCs w:val="24"/>
        </w:rPr>
        <w:t>/V</w:t>
      </w:r>
      <w:r w:rsidRPr="00B25472">
        <w:rPr>
          <w:rFonts w:ascii="Times New Roman" w:hAnsi="Times New Roman" w:cs="Times New Roman"/>
          <w:color w:val="FF0000"/>
          <w:sz w:val="24"/>
          <w:szCs w:val="24"/>
        </w:rPr>
        <w:t>365</w:t>
      </w:r>
      <w:r w:rsidRPr="00B254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$1212.83 Break even ANR</w:t>
      </w:r>
    </w:p>
    <w:p w14:paraId="3E65F88A" w14:textId="77777777" w:rsidR="003B4B68" w:rsidRDefault="003B4B68" w:rsidP="003B4B6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sz w:val="28"/>
          <w:szCs w:val="28"/>
        </w:rPr>
      </w:pPr>
    </w:p>
    <w:p w14:paraId="68FC96C1" w14:textId="77777777" w:rsidR="003B4B68" w:rsidRPr="00B25472" w:rsidRDefault="003B4B68" w:rsidP="003B4B6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25472">
        <w:rPr>
          <w:rFonts w:ascii="Times New Roman" w:hAnsi="Times New Roman" w:cs="Times New Roman"/>
          <w:sz w:val="24"/>
          <w:szCs w:val="24"/>
        </w:rPr>
        <w:t>Break Even AVC=ANR</w:t>
      </w:r>
      <w:r w:rsidRPr="00B25472">
        <w:rPr>
          <w:rFonts w:ascii="Times New Roman" w:hAnsi="Times New Roman" w:cs="Times New Roman"/>
          <w:color w:val="FF0000"/>
          <w:sz w:val="24"/>
          <w:szCs w:val="24"/>
        </w:rPr>
        <w:t>1212.33</w:t>
      </w:r>
      <w:r w:rsidRPr="00B25472">
        <w:rPr>
          <w:rFonts w:ascii="Times New Roman" w:hAnsi="Times New Roman" w:cs="Times New Roman"/>
          <w:sz w:val="24"/>
          <w:szCs w:val="24"/>
        </w:rPr>
        <w:t>-(TFC</w:t>
      </w:r>
      <w:r w:rsidRPr="00B25472">
        <w:rPr>
          <w:rFonts w:ascii="Times New Roman" w:hAnsi="Times New Roman" w:cs="Times New Roman"/>
          <w:color w:val="FF0000"/>
          <w:sz w:val="24"/>
          <w:szCs w:val="24"/>
        </w:rPr>
        <w:t>355,181.50</w:t>
      </w:r>
      <w:r w:rsidRPr="00B25472">
        <w:rPr>
          <w:rFonts w:ascii="Times New Roman" w:hAnsi="Times New Roman" w:cs="Times New Roman"/>
          <w:sz w:val="24"/>
          <w:szCs w:val="24"/>
        </w:rPr>
        <w:t>/V</w:t>
      </w:r>
      <w:r w:rsidRPr="00B25472">
        <w:rPr>
          <w:rFonts w:ascii="Times New Roman" w:hAnsi="Times New Roman" w:cs="Times New Roman"/>
          <w:color w:val="FF0000"/>
          <w:sz w:val="24"/>
          <w:szCs w:val="24"/>
        </w:rPr>
        <w:t>365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) = </w:t>
      </w:r>
      <w:r w:rsidRPr="00B25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$239.23 Break even AVC  </w:t>
      </w:r>
    </w:p>
    <w:p w14:paraId="3D305509" w14:textId="77777777" w:rsidR="003B4B68" w:rsidRDefault="003B4B68" w:rsidP="003B4B68">
      <w:pPr>
        <w:spacing w:before="120" w:line="480" w:lineRule="auto"/>
      </w:pPr>
    </w:p>
    <w:p w14:paraId="023B1BD5" w14:textId="77777777" w:rsidR="003B4B68" w:rsidRPr="00B25472" w:rsidRDefault="003B4B68" w:rsidP="003B4B68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2 -5</w:t>
      </w:r>
    </w:p>
    <w:p w14:paraId="30A75A86" w14:textId="77777777" w:rsidR="003B4B68" w:rsidRDefault="003B4B68" w:rsidP="003B4B6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B25472">
        <w:rPr>
          <w:rFonts w:ascii="Times New Roman" w:hAnsi="Times New Roman" w:cs="Times New Roman"/>
          <w:sz w:val="24"/>
          <w:szCs w:val="24"/>
        </w:rPr>
        <w:t>Break Even TFC=V</w:t>
      </w:r>
      <w:r w:rsidRPr="00B25472">
        <w:rPr>
          <w:rFonts w:ascii="Times New Roman" w:hAnsi="Times New Roman" w:cs="Times New Roman"/>
          <w:color w:val="FF0000"/>
          <w:sz w:val="24"/>
          <w:szCs w:val="24"/>
        </w:rPr>
        <w:t>365</w:t>
      </w:r>
      <w:r w:rsidRPr="00B25472">
        <w:rPr>
          <w:rFonts w:ascii="Times New Roman" w:hAnsi="Times New Roman" w:cs="Times New Roman"/>
          <w:sz w:val="24"/>
          <w:szCs w:val="24"/>
        </w:rPr>
        <w:t xml:space="preserve">*(ANR </w:t>
      </w:r>
      <w:r>
        <w:rPr>
          <w:rFonts w:ascii="Times New Roman" w:hAnsi="Times New Roman" w:cs="Times New Roman"/>
          <w:color w:val="FF0000"/>
          <w:sz w:val="24"/>
          <w:szCs w:val="24"/>
        </w:rPr>
        <w:t>2060.96</w:t>
      </w:r>
      <w:r w:rsidRPr="00B25472">
        <w:rPr>
          <w:rFonts w:ascii="Times New Roman" w:hAnsi="Times New Roman" w:cs="Times New Roman"/>
          <w:sz w:val="24"/>
          <w:szCs w:val="24"/>
        </w:rPr>
        <w:t xml:space="preserve">-AVC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407.53   = </w:t>
      </w:r>
      <w:r w:rsidRPr="00B25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$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603,501.95 Break even TFC</w:t>
      </w:r>
    </w:p>
    <w:p w14:paraId="1F489D9A" w14:textId="77777777" w:rsidR="003B4B68" w:rsidRDefault="003B4B68" w:rsidP="003B4B6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14:paraId="3FD2DC09" w14:textId="77777777" w:rsidR="003B4B68" w:rsidRPr="00B25472" w:rsidRDefault="003B4B68" w:rsidP="003B4B6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25472">
        <w:rPr>
          <w:rFonts w:ascii="Times New Roman" w:hAnsi="Times New Roman" w:cs="Times New Roman"/>
          <w:sz w:val="24"/>
          <w:szCs w:val="24"/>
        </w:rPr>
        <w:t>Break Even ANR=AVC</w:t>
      </w:r>
      <w:r>
        <w:rPr>
          <w:rFonts w:ascii="Times New Roman" w:hAnsi="Times New Roman" w:cs="Times New Roman"/>
          <w:color w:val="FF0000"/>
          <w:sz w:val="24"/>
          <w:szCs w:val="24"/>
        </w:rPr>
        <w:t>407.53</w:t>
      </w:r>
      <w:r w:rsidRPr="00B25472">
        <w:rPr>
          <w:rFonts w:ascii="Times New Roman" w:hAnsi="Times New Roman" w:cs="Times New Roman"/>
          <w:sz w:val="24"/>
          <w:szCs w:val="24"/>
        </w:rPr>
        <w:t>+ (</w:t>
      </w:r>
      <w:r w:rsidRPr="00F46EA6">
        <w:rPr>
          <w:rFonts w:ascii="Times New Roman" w:hAnsi="Times New Roman" w:cs="Times New Roman"/>
          <w:color w:val="000000" w:themeColor="text1"/>
          <w:sz w:val="24"/>
          <w:szCs w:val="24"/>
        </w:rPr>
        <w:t>TFC</w:t>
      </w:r>
      <w:r>
        <w:rPr>
          <w:rFonts w:ascii="Times New Roman" w:hAnsi="Times New Roman" w:cs="Times New Roman"/>
          <w:color w:val="FF0000"/>
          <w:sz w:val="24"/>
          <w:szCs w:val="24"/>
        </w:rPr>
        <w:t>603,501.95/</w:t>
      </w:r>
      <w:r w:rsidRPr="00B25472">
        <w:rPr>
          <w:rFonts w:ascii="Times New Roman" w:hAnsi="Times New Roman" w:cs="Times New Roman"/>
          <w:sz w:val="24"/>
          <w:szCs w:val="24"/>
        </w:rPr>
        <w:t>V</w:t>
      </w:r>
      <w:r w:rsidRPr="00B25472">
        <w:rPr>
          <w:rFonts w:ascii="Times New Roman" w:hAnsi="Times New Roman" w:cs="Times New Roman"/>
          <w:color w:val="FF0000"/>
          <w:sz w:val="24"/>
          <w:szCs w:val="24"/>
        </w:rPr>
        <w:t>365</w:t>
      </w:r>
      <w:r w:rsidRPr="00B254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$2,060.96 Break even ANR</w:t>
      </w:r>
    </w:p>
    <w:p w14:paraId="17501CDD" w14:textId="77777777" w:rsidR="003B4B68" w:rsidRDefault="003B4B68" w:rsidP="003B4B6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Helvetica" w:hAnsi="Helvetica" w:cs="Helvetica"/>
          <w:sz w:val="28"/>
          <w:szCs w:val="28"/>
        </w:rPr>
      </w:pPr>
    </w:p>
    <w:p w14:paraId="77700AB8" w14:textId="77777777" w:rsidR="003B4B68" w:rsidRPr="00B25472" w:rsidRDefault="003B4B68" w:rsidP="003B4B68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25472">
        <w:rPr>
          <w:rFonts w:ascii="Times New Roman" w:hAnsi="Times New Roman" w:cs="Times New Roman"/>
          <w:sz w:val="24"/>
          <w:szCs w:val="24"/>
        </w:rPr>
        <w:t>Break Even AVC=ANR</w:t>
      </w:r>
      <w:r>
        <w:rPr>
          <w:rFonts w:ascii="Times New Roman" w:hAnsi="Times New Roman" w:cs="Times New Roman"/>
          <w:color w:val="FF0000"/>
          <w:sz w:val="24"/>
          <w:szCs w:val="24"/>
        </w:rPr>
        <w:t>2060.96</w:t>
      </w:r>
      <w:r w:rsidRPr="00B25472">
        <w:rPr>
          <w:rFonts w:ascii="Times New Roman" w:hAnsi="Times New Roman" w:cs="Times New Roman"/>
          <w:sz w:val="24"/>
          <w:szCs w:val="24"/>
        </w:rPr>
        <w:t>TFC</w:t>
      </w:r>
      <w:r>
        <w:rPr>
          <w:rFonts w:ascii="Times New Roman" w:hAnsi="Times New Roman" w:cs="Times New Roman"/>
          <w:color w:val="FF0000"/>
          <w:sz w:val="24"/>
          <w:szCs w:val="24"/>
        </w:rPr>
        <w:t>603,501.95</w:t>
      </w:r>
      <w:r w:rsidRPr="00B25472">
        <w:rPr>
          <w:rFonts w:ascii="Times New Roman" w:hAnsi="Times New Roman" w:cs="Times New Roman"/>
          <w:color w:val="FF0000"/>
          <w:sz w:val="24"/>
          <w:szCs w:val="24"/>
        </w:rPr>
        <w:t>5,181.50</w:t>
      </w:r>
      <w:r w:rsidRPr="00B25472">
        <w:rPr>
          <w:rFonts w:ascii="Times New Roman" w:hAnsi="Times New Roman" w:cs="Times New Roman"/>
          <w:sz w:val="24"/>
          <w:szCs w:val="24"/>
        </w:rPr>
        <w:t>/V</w:t>
      </w:r>
      <w:r w:rsidRPr="00B25472">
        <w:rPr>
          <w:rFonts w:ascii="Times New Roman" w:hAnsi="Times New Roman" w:cs="Times New Roman"/>
          <w:color w:val="FF0000"/>
          <w:sz w:val="24"/>
          <w:szCs w:val="24"/>
        </w:rPr>
        <w:t>365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) = </w:t>
      </w:r>
      <w:r w:rsidRPr="00B25472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407.53</w:t>
      </w:r>
      <w:r w:rsidRPr="00B25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Break even AVC  </w:t>
      </w:r>
    </w:p>
    <w:p w14:paraId="20583D24" w14:textId="77777777" w:rsidR="0001190F" w:rsidRPr="003B4B68" w:rsidRDefault="0001190F" w:rsidP="003B4B68">
      <w:bookmarkStart w:id="0" w:name="_GoBack"/>
      <w:bookmarkEnd w:id="0"/>
    </w:p>
    <w:sectPr w:rsidR="0001190F" w:rsidRPr="003B4B68" w:rsidSect="00EB5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68"/>
    <w:rsid w:val="0001190F"/>
    <w:rsid w:val="003B4B68"/>
    <w:rsid w:val="005B288F"/>
    <w:rsid w:val="00A42687"/>
    <w:rsid w:val="00B23DA1"/>
    <w:rsid w:val="00C75974"/>
    <w:rsid w:val="00E34E30"/>
    <w:rsid w:val="00E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FB79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uiPriority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B68"/>
  </w:style>
  <w:style w:type="paragraph" w:styleId="Heading1">
    <w:name w:val="heading 1"/>
    <w:basedOn w:val="Normal"/>
    <w:next w:val="Normal"/>
    <w:link w:val="Heading1Char"/>
    <w:uiPriority w:val="9"/>
    <w:qFormat/>
    <w:rsid w:val="00E34E3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E3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E3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E3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E30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E30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E30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E30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E30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4E30"/>
    <w:rPr>
      <w:smallCaps/>
      <w:spacing w:val="5"/>
      <w:sz w:val="32"/>
      <w:szCs w:val="32"/>
    </w:rPr>
  </w:style>
  <w:style w:type="paragraph" w:styleId="NoSpacing">
    <w:name w:val="No Spacing"/>
    <w:basedOn w:val="Normal"/>
    <w:link w:val="NoSpacingChar"/>
    <w:uiPriority w:val="1"/>
    <w:qFormat/>
    <w:rsid w:val="00E34E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4E30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E34E30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34E30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E34E30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E34E30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E34E30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E34E30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E34E30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E34E30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4E30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34E30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E34E3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E30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E34E30"/>
    <w:rPr>
      <w:rFonts w:ascii="Cambria" w:hAnsi="Cambria"/>
      <w:szCs w:val="22"/>
    </w:rPr>
  </w:style>
  <w:style w:type="character" w:styleId="Strong">
    <w:name w:val="Strong"/>
    <w:uiPriority w:val="22"/>
    <w:qFormat/>
    <w:rsid w:val="00E34E30"/>
    <w:rPr>
      <w:b/>
      <w:color w:val="C0504D"/>
    </w:rPr>
  </w:style>
  <w:style w:type="character" w:styleId="Emphasis">
    <w:name w:val="Emphasis"/>
    <w:uiPriority w:val="20"/>
    <w:qFormat/>
    <w:rsid w:val="00E34E30"/>
    <w:rPr>
      <w:b/>
      <w:i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E34E30"/>
    <w:rPr>
      <w:i/>
    </w:rPr>
  </w:style>
  <w:style w:type="character" w:customStyle="1" w:styleId="QuoteChar">
    <w:name w:val="Quote Char"/>
    <w:link w:val="Quote"/>
    <w:uiPriority w:val="29"/>
    <w:rsid w:val="00E34E30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E3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E34E30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E34E30"/>
    <w:rPr>
      <w:i/>
    </w:rPr>
  </w:style>
  <w:style w:type="character" w:styleId="IntenseEmphasis">
    <w:name w:val="Intense Emphasis"/>
    <w:uiPriority w:val="21"/>
    <w:qFormat/>
    <w:rsid w:val="00E34E30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E34E30"/>
    <w:rPr>
      <w:b/>
    </w:rPr>
  </w:style>
  <w:style w:type="character" w:styleId="IntenseReference">
    <w:name w:val="Intense Reference"/>
    <w:uiPriority w:val="32"/>
    <w:qFormat/>
    <w:rsid w:val="00E34E3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34E30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E30"/>
    <w:pPr>
      <w:outlineLvl w:val="9"/>
    </w:pPr>
    <w:rPr>
      <w:lang w:bidi="en-US"/>
    </w:rPr>
  </w:style>
  <w:style w:type="character" w:customStyle="1" w:styleId="NoSpacingChar">
    <w:name w:val="No Spacing Char"/>
    <w:link w:val="NoSpacing"/>
    <w:uiPriority w:val="1"/>
    <w:rsid w:val="00E34E30"/>
  </w:style>
  <w:style w:type="table" w:styleId="TableGrid">
    <w:name w:val="Table Grid"/>
    <w:basedOn w:val="TableNormal"/>
    <w:uiPriority w:val="39"/>
    <w:rsid w:val="003B4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2714</Characters>
  <Application>Microsoft Macintosh Word</Application>
  <DocSecurity>0</DocSecurity>
  <Lines>22</Lines>
  <Paragraphs>6</Paragraphs>
  <ScaleCrop>false</ScaleCrop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Mommy Lexi</dc:creator>
  <cp:keywords/>
  <dc:description/>
  <cp:lastModifiedBy>Mommy Lexi</cp:lastModifiedBy>
  <cp:revision>1</cp:revision>
  <dcterms:created xsi:type="dcterms:W3CDTF">2016-04-21T04:50:00Z</dcterms:created>
  <dcterms:modified xsi:type="dcterms:W3CDTF">2016-04-21T04:51:00Z</dcterms:modified>
</cp:coreProperties>
</file>