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74" w:rsidRPr="00607C74" w:rsidRDefault="00607C74" w:rsidP="00607C74">
      <w:pPr>
        <w:spacing w:after="200" w:line="480" w:lineRule="auto"/>
        <w:jc w:val="center"/>
        <w:rPr>
          <w:rFonts w:ascii="Times New Roman" w:eastAsia="Calibri"/>
          <w:bCs/>
          <w:sz w:val="24"/>
          <w:szCs w:val="24"/>
        </w:rPr>
      </w:pPr>
      <w:bookmarkStart w:id="0" w:name="_GoBack"/>
      <w:r w:rsidRPr="00607C74">
        <w:rPr>
          <w:rFonts w:ascii="Times New Roman"/>
          <w:bCs/>
          <w:sz w:val="24"/>
          <w:szCs w:val="24"/>
        </w:rPr>
        <w:t>Annotated Bibliography</w:t>
      </w:r>
    </w:p>
    <w:bookmarkEnd w:id="0"/>
    <w:p w:rsidR="00607C74" w:rsidRPr="00607C74" w:rsidRDefault="00607C74" w:rsidP="00607C74">
      <w:pPr>
        <w:spacing w:after="100" w:afterAutospacing="1" w:line="480" w:lineRule="auto"/>
        <w:ind w:left="720" w:hanging="720"/>
        <w:jc w:val="both"/>
        <w:rPr>
          <w:rFonts w:ascii="Times New Roman" w:eastAsia="Calibri"/>
          <w:sz w:val="24"/>
          <w:szCs w:val="24"/>
        </w:rPr>
      </w:pPr>
      <w:r w:rsidRPr="00607C74">
        <w:rPr>
          <w:rFonts w:ascii="Times New Roman" w:eastAsia="Calibri"/>
          <w:sz w:val="24"/>
          <w:szCs w:val="24"/>
        </w:rPr>
        <w:t>Graham, Raewyn, and Phil McManus. "Changing human-animal relationships in sport: an analysis of the UK and Australian horse racing whips debates." </w:t>
      </w:r>
      <w:r w:rsidRPr="00607C74">
        <w:rPr>
          <w:rFonts w:ascii="Times New Roman" w:eastAsia="Calibri"/>
          <w:i/>
          <w:iCs/>
          <w:sz w:val="24"/>
          <w:szCs w:val="24"/>
        </w:rPr>
        <w:t>Animals</w:t>
      </w:r>
      <w:r w:rsidRPr="00607C74">
        <w:rPr>
          <w:rFonts w:ascii="Times New Roman" w:eastAsia="Calibri"/>
          <w:sz w:val="24"/>
          <w:szCs w:val="24"/>
        </w:rPr>
        <w:t> 6.5 (2016): 32.</w:t>
      </w:r>
    </w:p>
    <w:p w:rsidR="00607C74" w:rsidRPr="00607C74" w:rsidRDefault="00607C74" w:rsidP="00607C74">
      <w:pPr>
        <w:spacing w:after="100" w:afterAutospacing="1" w:line="480" w:lineRule="auto"/>
        <w:ind w:left="720" w:hanging="720"/>
        <w:jc w:val="both"/>
        <w:rPr>
          <w:rFonts w:ascii="Times New Roman" w:eastAsia="Calibri"/>
          <w:sz w:val="24"/>
          <w:szCs w:val="24"/>
        </w:rPr>
      </w:pPr>
      <w:r w:rsidRPr="00607C74">
        <w:rPr>
          <w:rFonts w:ascii="Times New Roman" w:eastAsia="Calibri"/>
          <w:sz w:val="24"/>
          <w:szCs w:val="24"/>
        </w:rPr>
        <w:t>Gaunt, Harry. </w:t>
      </w:r>
      <w:r w:rsidRPr="00607C74">
        <w:rPr>
          <w:rFonts w:ascii="Times New Roman" w:eastAsia="Calibri"/>
          <w:i/>
          <w:iCs/>
          <w:noProof/>
          <w:sz w:val="24"/>
          <w:szCs w:val="24"/>
        </w:rPr>
        <w:t>A Philosophic Enquiry</w:t>
      </w:r>
      <w:r w:rsidRPr="00607C74">
        <w:rPr>
          <w:rFonts w:ascii="Times New Roman" w:eastAsia="Calibri"/>
          <w:i/>
          <w:iCs/>
          <w:sz w:val="24"/>
          <w:szCs w:val="24"/>
        </w:rPr>
        <w:t xml:space="preserve"> into the Animal Welfare Issues in the Sport of Horse Racing</w:t>
      </w:r>
      <w:r w:rsidRPr="00607C74">
        <w:rPr>
          <w:rFonts w:ascii="Times New Roman" w:eastAsia="Calibri"/>
          <w:sz w:val="24"/>
          <w:szCs w:val="24"/>
        </w:rPr>
        <w:t>. Diss. Cardiff Metropolitan University, 2015.</w:t>
      </w:r>
    </w:p>
    <w:p w:rsidR="00607C74" w:rsidRPr="00607C74" w:rsidRDefault="00607C74" w:rsidP="00607C74">
      <w:pPr>
        <w:spacing w:after="100" w:afterAutospacing="1" w:line="480" w:lineRule="auto"/>
        <w:ind w:left="720" w:hanging="720"/>
        <w:jc w:val="both"/>
        <w:rPr>
          <w:rFonts w:ascii="Times New Roman" w:eastAsia="Calibri"/>
          <w:sz w:val="24"/>
          <w:szCs w:val="24"/>
        </w:rPr>
      </w:pPr>
      <w:proofErr w:type="spellStart"/>
      <w:r w:rsidRPr="00607C74">
        <w:rPr>
          <w:rFonts w:ascii="Times New Roman" w:eastAsia="Calibri"/>
          <w:sz w:val="24"/>
          <w:szCs w:val="24"/>
        </w:rPr>
        <w:t>Georgopoulos</w:t>
      </w:r>
      <w:proofErr w:type="spellEnd"/>
      <w:r w:rsidRPr="00607C74">
        <w:rPr>
          <w:rFonts w:ascii="Times New Roman" w:eastAsia="Calibri"/>
          <w:sz w:val="24"/>
          <w:szCs w:val="24"/>
        </w:rPr>
        <w:t>, Stamatis P., and Tim DH Parkin. "Risk factors associated with fatal injuries in Thoroughbred racehorses competing in flat racing in the United States and Canada." </w:t>
      </w:r>
      <w:r w:rsidRPr="00607C74">
        <w:rPr>
          <w:rFonts w:ascii="Times New Roman" w:eastAsia="Calibri"/>
          <w:i/>
          <w:iCs/>
          <w:sz w:val="24"/>
          <w:szCs w:val="24"/>
        </w:rPr>
        <w:t>Journal of the American Veterinary Medical Association</w:t>
      </w:r>
      <w:r w:rsidRPr="00607C74">
        <w:rPr>
          <w:rFonts w:ascii="Times New Roman" w:eastAsia="Calibri"/>
          <w:sz w:val="24"/>
          <w:szCs w:val="24"/>
        </w:rPr>
        <w:t> 249.8 (2016): 931-939.</w:t>
      </w:r>
    </w:p>
    <w:p w:rsidR="00607C74" w:rsidRPr="00607C74" w:rsidRDefault="00607C74" w:rsidP="00607C74">
      <w:pPr>
        <w:spacing w:after="100" w:afterAutospacing="1" w:line="480" w:lineRule="auto"/>
        <w:ind w:left="720" w:hanging="720"/>
        <w:jc w:val="both"/>
        <w:rPr>
          <w:rFonts w:ascii="Times New Roman" w:eastAsia="Calibri"/>
          <w:sz w:val="24"/>
          <w:szCs w:val="24"/>
        </w:rPr>
      </w:pPr>
      <w:r w:rsidRPr="00607C74">
        <w:rPr>
          <w:rFonts w:ascii="Times New Roman" w:eastAsia="Calibri"/>
          <w:sz w:val="24"/>
          <w:szCs w:val="24"/>
        </w:rPr>
        <w:t>Huggins, Mike. </w:t>
      </w:r>
      <w:r w:rsidRPr="00607C74">
        <w:rPr>
          <w:rFonts w:ascii="Times New Roman" w:eastAsia="Calibri"/>
          <w:i/>
          <w:iCs/>
          <w:sz w:val="24"/>
          <w:szCs w:val="24"/>
        </w:rPr>
        <w:t xml:space="preserve">Flat racing and British </w:t>
      </w:r>
      <w:r w:rsidRPr="00607C74">
        <w:rPr>
          <w:rFonts w:ascii="Times New Roman" w:eastAsia="Calibri"/>
          <w:i/>
          <w:iCs/>
          <w:noProof/>
          <w:sz w:val="24"/>
          <w:szCs w:val="24"/>
        </w:rPr>
        <w:t>Society</w:t>
      </w:r>
      <w:r w:rsidRPr="00607C74">
        <w:rPr>
          <w:rFonts w:ascii="Times New Roman" w:eastAsia="Calibri"/>
          <w:i/>
          <w:iCs/>
          <w:sz w:val="24"/>
          <w:szCs w:val="24"/>
        </w:rPr>
        <w:t>, 1790-1914: A social and economic history</w:t>
      </w:r>
      <w:r w:rsidRPr="00607C74">
        <w:rPr>
          <w:rFonts w:ascii="Times New Roman" w:eastAsia="Calibri"/>
          <w:sz w:val="24"/>
          <w:szCs w:val="24"/>
        </w:rPr>
        <w:t>. Routledge, 2014.</w:t>
      </w:r>
    </w:p>
    <w:p w:rsidR="00B90DDC" w:rsidRDefault="00B90DDC"/>
    <w:sectPr w:rsidR="00B90DDC" w:rsidSect="001F6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74"/>
    <w:rsid w:val="001F62AB"/>
    <w:rsid w:val="00607C74"/>
    <w:rsid w:val="00B90DDC"/>
    <w:rsid w:val="00D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772B7-7363-47B5-A609-8B20B23E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S M</cp:lastModifiedBy>
  <cp:revision>1</cp:revision>
  <dcterms:created xsi:type="dcterms:W3CDTF">2017-04-29T23:04:00Z</dcterms:created>
  <dcterms:modified xsi:type="dcterms:W3CDTF">2017-04-29T23:05:00Z</dcterms:modified>
</cp:coreProperties>
</file>