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8996C" w14:textId="77777777" w:rsidR="007439C3" w:rsidRDefault="007439C3" w:rsidP="00B1127C">
      <w:pPr>
        <w:pStyle w:val="APA"/>
      </w:pPr>
    </w:p>
    <w:p w14:paraId="65528E7D" w14:textId="77777777" w:rsidR="00B1127C" w:rsidRDefault="00B1127C" w:rsidP="00B1127C">
      <w:pPr>
        <w:pStyle w:val="APA"/>
      </w:pPr>
    </w:p>
    <w:p w14:paraId="2B312B7A" w14:textId="77777777" w:rsidR="00B1127C" w:rsidRDefault="00B1127C" w:rsidP="00B1127C">
      <w:pPr>
        <w:pStyle w:val="APA"/>
      </w:pPr>
    </w:p>
    <w:p w14:paraId="185DA789" w14:textId="77777777" w:rsidR="00B1127C" w:rsidRDefault="00B1127C" w:rsidP="00B1127C">
      <w:pPr>
        <w:pStyle w:val="APA"/>
      </w:pPr>
    </w:p>
    <w:p w14:paraId="5BF0FFCB" w14:textId="77777777" w:rsidR="00B1127C" w:rsidRDefault="00B1127C" w:rsidP="00B1127C">
      <w:pPr>
        <w:pStyle w:val="APA"/>
      </w:pPr>
    </w:p>
    <w:p w14:paraId="47920475" w14:textId="77777777" w:rsidR="00B1127C" w:rsidRDefault="00B1127C" w:rsidP="00B1127C">
      <w:pPr>
        <w:pStyle w:val="APA"/>
      </w:pPr>
    </w:p>
    <w:p w14:paraId="47C1E40E" w14:textId="77777777" w:rsidR="00B1127C" w:rsidRDefault="00B1127C" w:rsidP="00B1127C">
      <w:pPr>
        <w:pStyle w:val="APA"/>
      </w:pPr>
    </w:p>
    <w:p w14:paraId="7456C7F9" w14:textId="77777777" w:rsidR="00B1127C" w:rsidRDefault="00B1127C" w:rsidP="00B1127C">
      <w:pPr>
        <w:pStyle w:val="APAHeadingCenter"/>
      </w:pPr>
      <w:bookmarkStart w:id="0" w:name="bmTitlePageTitle"/>
      <w:r>
        <w:t>Greene's Jewelry Wholesale vs. Jennifer Lawson</w:t>
      </w:r>
      <w:bookmarkEnd w:id="0"/>
    </w:p>
    <w:p w14:paraId="404281F6" w14:textId="77777777" w:rsidR="00B1127C" w:rsidRDefault="00B1127C" w:rsidP="00B1127C">
      <w:pPr>
        <w:pStyle w:val="APAHeadingCenter"/>
      </w:pPr>
      <w:bookmarkStart w:id="1" w:name="bmTitlePageName"/>
      <w:r>
        <w:t>Alexis LeBlanc</w:t>
      </w:r>
      <w:bookmarkEnd w:id="1"/>
    </w:p>
    <w:p w14:paraId="5280806D" w14:textId="77777777" w:rsidR="00B1127C" w:rsidRDefault="00B1127C" w:rsidP="00B1127C">
      <w:pPr>
        <w:pStyle w:val="APAHeadingCenter"/>
      </w:pPr>
      <w:bookmarkStart w:id="2" w:name="bmTitlePageInst"/>
      <w:r>
        <w:t>Southern New Hampshire University</w:t>
      </w:r>
      <w:bookmarkEnd w:id="2"/>
    </w:p>
    <w:p w14:paraId="26CBA912" w14:textId="77777777" w:rsidR="00B1127C" w:rsidRDefault="00B1127C" w:rsidP="00B1127C">
      <w:pPr>
        <w:pStyle w:val="APAHeadingCenter"/>
      </w:pPr>
      <w:bookmarkStart w:id="3" w:name="bmTitleAdd1"/>
      <w:r>
        <w:t>Business Law</w:t>
      </w:r>
      <w:bookmarkEnd w:id="3"/>
    </w:p>
    <w:p w14:paraId="6E21D859" w14:textId="77777777" w:rsidR="00B1127C" w:rsidRDefault="00B1127C" w:rsidP="00B1127C">
      <w:pPr>
        <w:pStyle w:val="APAHeadingCenter"/>
      </w:pPr>
      <w:bookmarkStart w:id="4" w:name="bmTitleAdd2"/>
      <w:r>
        <w:t>MBA 610</w:t>
      </w:r>
      <w:bookmarkEnd w:id="4"/>
    </w:p>
    <w:p w14:paraId="2375D31B" w14:textId="2AEFC62E" w:rsidR="00B1127C" w:rsidRDefault="00160A33" w:rsidP="00B1127C">
      <w:pPr>
        <w:pStyle w:val="APAHeadingCenter"/>
      </w:pPr>
      <w:bookmarkStart w:id="5" w:name="bmTitleAdd3"/>
      <w:r>
        <w:t>Andrea</w:t>
      </w:r>
      <w:r w:rsidR="00B1127C">
        <w:t xml:space="preserve"> A Roberson</w:t>
      </w:r>
      <w:bookmarkEnd w:id="5"/>
    </w:p>
    <w:p w14:paraId="7A30878D" w14:textId="4C8E981C" w:rsidR="00B1127C" w:rsidRDefault="000A2B8B" w:rsidP="00B1127C">
      <w:pPr>
        <w:pStyle w:val="APAHeadingCenter"/>
      </w:pPr>
      <w:r>
        <w:t>February 14, 2016</w:t>
      </w:r>
    </w:p>
    <w:p w14:paraId="32CD16C6" w14:textId="77777777" w:rsidR="00B1127C" w:rsidRDefault="00B1127C" w:rsidP="00B1127C">
      <w:pPr>
        <w:pStyle w:val="APA"/>
        <w:sectPr w:rsidR="00B1127C" w:rsidSect="00B1127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7B941CCB" w14:textId="08F1EB7E" w:rsidR="00B1127C" w:rsidRDefault="00776889" w:rsidP="00776889">
      <w:pPr>
        <w:pStyle w:val="APA"/>
        <w:ind w:firstLine="0"/>
        <w:jc w:val="center"/>
        <w:rPr>
          <w:b/>
          <w:u w:val="single"/>
        </w:rPr>
      </w:pPr>
      <w:r>
        <w:rPr>
          <w:b/>
          <w:u w:val="single"/>
        </w:rPr>
        <w:lastRenderedPageBreak/>
        <w:t>Memo Introduction</w:t>
      </w:r>
    </w:p>
    <w:p w14:paraId="3FEE5FD8" w14:textId="77777777" w:rsidR="00E06495" w:rsidRDefault="00E06495" w:rsidP="00776889">
      <w:pPr>
        <w:pStyle w:val="APA"/>
        <w:ind w:firstLine="0"/>
        <w:jc w:val="center"/>
        <w:rPr>
          <w:b/>
          <w:u w:val="single"/>
        </w:rPr>
      </w:pPr>
    </w:p>
    <w:p w14:paraId="0735F611" w14:textId="272AC6B9" w:rsidR="00E06495" w:rsidRDefault="009F7099" w:rsidP="009F7099">
      <w:pPr>
        <w:pStyle w:val="APA"/>
      </w:pPr>
      <w:r>
        <w:t>This memo explores ways to help prevent the creation of a lawsuit between Greene Jewelry Wholesale and Jennifer Lawson.  The first section is a brief summary of the factual background for the lawsuit being considered by Greene’s Jewelry. The second section provides facts and laws relating to the case in hand.  The next section consists of cases supporting and denying the current lawsuit. The final section consists of facts to be determined supporting the current case.</w:t>
      </w:r>
    </w:p>
    <w:p w14:paraId="00430BDD" w14:textId="48E3BB6D" w:rsidR="009F7099" w:rsidRDefault="00160A33" w:rsidP="009F7099">
      <w:pPr>
        <w:pStyle w:val="APA"/>
      </w:pPr>
      <w:r>
        <w:t>This summary is not intended to be a complete history of the case between Greene’s Jewelry Wholesale and Jennifer Lawson.  Instead, it is a brief overview of the background information, which has lead to the filing of this lawsuit.  This memo reviews the current legal strategies and possible resolutions that Greene might consider before going forward with the lawsuit.</w:t>
      </w:r>
    </w:p>
    <w:p w14:paraId="639A2E05" w14:textId="19D8A1C3" w:rsidR="00160A33" w:rsidRDefault="00160A33" w:rsidP="009F7099">
      <w:pPr>
        <w:pStyle w:val="APA"/>
      </w:pPr>
      <w:r>
        <w:t xml:space="preserve">Greene’s Jewelry Wholesale had employed Jennifer Lawson for three years as a junior executive secretary in the research and development department when she was laid off due to downsizing.  She contacted Lisa </w:t>
      </w:r>
      <w:proofErr w:type="gramStart"/>
      <w:r>
        <w:t>Peele,</w:t>
      </w:r>
      <w:proofErr w:type="gramEnd"/>
      <w:r>
        <w:t xml:space="preserve"> the head of human resources when she found out she was pregnant and was going to need some ti</w:t>
      </w:r>
      <w:r w:rsidR="008D74B5">
        <w:t xml:space="preserve">me off.  Ms. Peele informed Ms. Lawson </w:t>
      </w:r>
      <w:r>
        <w:t xml:space="preserve">that her position within the company had been eliminated due to </w:t>
      </w:r>
      <w:r w:rsidR="008D74B5">
        <w:t xml:space="preserve">economic downsizing.  Ms. Lawson was asked to clean out her desk and leave the property.  After about a week Greene’s discovered that Ms. Lawson had taken a draft letter address to Greene’s patent lawyer, which detailed the secret process for creating their primary patented synthetic gold-colored material called “Ever-Gold”.  </w:t>
      </w:r>
    </w:p>
    <w:p w14:paraId="09E69522" w14:textId="77777777" w:rsidR="00A40CB5" w:rsidRDefault="008D74B5" w:rsidP="00A40CB5">
      <w:pPr>
        <w:pStyle w:val="APA"/>
      </w:pPr>
      <w:r>
        <w:t>When Ms. Lawson was hired by Greene’s three years ago she was required to sign a confidentiality ag</w:t>
      </w:r>
      <w:r w:rsidR="000C39E4">
        <w:t xml:space="preserve">reement which forbade her from </w:t>
      </w:r>
      <w:r>
        <w:t xml:space="preserve">ever disclosing any information that she might </w:t>
      </w:r>
      <w:r>
        <w:lastRenderedPageBreak/>
        <w:t xml:space="preserve">acquire during her employment specifically regarding the process used to create Ever-Gold.  </w:t>
      </w:r>
      <w:r w:rsidR="000C39E4">
        <w:t xml:space="preserve">This confidentiality agreement, also known as a non-disclosure agreement, is </w:t>
      </w:r>
      <w:r w:rsidR="00A33516">
        <w:t xml:space="preserve">an enforceable contract under the eyes of the United States government.  Nearly all of the United States and the District of Columbia have enacted a model law called the United Trade Secrets Act, which </w:t>
      </w:r>
      <w:r w:rsidR="00A33516" w:rsidRPr="00A33516">
        <w:t>restates common law principles of misappropriation of trade secrets and provides an extensive range of potential remedies, partially preempting remedies based on tort law or equitable restitution.</w:t>
      </w:r>
      <w:r w:rsidR="00A40CB5">
        <w:t xml:space="preserve"> </w:t>
      </w:r>
      <w:bookmarkStart w:id="6" w:name="C423739638425926I0T423739694791667"/>
      <w:r w:rsidR="00A40CB5">
        <w:t>(Blackmer, 2009, para. 10)</w:t>
      </w:r>
      <w:bookmarkEnd w:id="6"/>
      <w:r w:rsidR="00A40CB5">
        <w:t xml:space="preserve"> </w:t>
      </w:r>
    </w:p>
    <w:p w14:paraId="1612A6AA" w14:textId="28CC0AEB" w:rsidR="00A40CB5" w:rsidRDefault="00A40CB5" w:rsidP="00A40CB5">
      <w:pPr>
        <w:pStyle w:val="APA"/>
      </w:pPr>
      <w:r w:rsidRPr="00A40CB5">
        <w:t>Liability is based on proof that the defendant has “misappropriated” trade secrets by acquiring them through “improper means.” Breach of an NDA is one example of improper means.</w:t>
      </w:r>
      <w:r>
        <w:t xml:space="preserve"> </w:t>
      </w:r>
      <w:bookmarkStart w:id="7" w:name="C423739638425926I0T423739717476852"/>
      <w:r>
        <w:t>(Blackmer, 2009, para. 11)</w:t>
      </w:r>
      <w:bookmarkEnd w:id="7"/>
      <w:r>
        <w:t xml:space="preserve">  When Ms. Lawson offered the memo to her new employer as a reason to hire her, she blatantly broke this law, therefore giving Greene’s justifiable reason to sue her.</w:t>
      </w:r>
    </w:p>
    <w:p w14:paraId="4B9B8863" w14:textId="77777777" w:rsidR="00A40CB5" w:rsidRDefault="00A40CB5" w:rsidP="00464936">
      <w:pPr>
        <w:pStyle w:val="APA"/>
        <w:jc w:val="center"/>
        <w:rPr>
          <w:b/>
          <w:u w:val="single"/>
        </w:rPr>
      </w:pPr>
    </w:p>
    <w:p w14:paraId="5B1852CE" w14:textId="247E8488" w:rsidR="00464936" w:rsidRDefault="00464936" w:rsidP="00464936">
      <w:pPr>
        <w:pStyle w:val="APA"/>
        <w:jc w:val="center"/>
        <w:rPr>
          <w:b/>
          <w:u w:val="single"/>
        </w:rPr>
      </w:pPr>
      <w:r>
        <w:rPr>
          <w:b/>
          <w:u w:val="single"/>
        </w:rPr>
        <w:t>Facts and Laws</w:t>
      </w:r>
    </w:p>
    <w:p w14:paraId="4F2DA0CC" w14:textId="3C633D93" w:rsidR="00464936" w:rsidRDefault="00464936" w:rsidP="00464936">
      <w:pPr>
        <w:pStyle w:val="APA"/>
        <w:ind w:firstLine="0"/>
        <w:rPr>
          <w:b/>
          <w:u w:val="single"/>
        </w:rPr>
      </w:pPr>
      <w:r>
        <w:rPr>
          <w:b/>
          <w:u w:val="single"/>
        </w:rPr>
        <w:t>Unlawful Termination</w:t>
      </w:r>
    </w:p>
    <w:p w14:paraId="2218222C" w14:textId="308C06ED" w:rsidR="003D56E4" w:rsidRDefault="003D56E4" w:rsidP="003D56E4">
      <w:pPr>
        <w:pStyle w:val="APA"/>
      </w:pPr>
      <w:r>
        <w:t xml:space="preserve">This law provides rules that determine whether firing of an employee is conducted in a proper manner and fall under a proper cause.  It is primarily concerned with violations the express or imply employment contracts and whether the termination was contrary to the agreement made between two parties, the employee and employer.  In reference to the current case, Ms. Lawson was terminated lawfully because Greene’s states the reason as downsizing.  However, Ms. Lawson might have a case if the decision to downsize was made after she reported her pregnancy.  The law prohibits discrimination in work places based on </w:t>
      </w:r>
      <w:proofErr w:type="gramStart"/>
      <w:r>
        <w:t>a persons</w:t>
      </w:r>
      <w:proofErr w:type="gramEnd"/>
      <w:r>
        <w:t xml:space="preserve">’ sex, age, race, gender, color, religion, national origin and/or disability normal health issues including </w:t>
      </w:r>
      <w:r>
        <w:lastRenderedPageBreak/>
        <w:t xml:space="preserve">pregnancy.  </w:t>
      </w:r>
      <w:bookmarkStart w:id="8" w:name="C423739809490741I0T423739828240741"/>
      <w:r w:rsidR="007B7DDC">
        <w:t>(McAdams, 2014, p. 557)</w:t>
      </w:r>
      <w:bookmarkEnd w:id="8"/>
      <w:r w:rsidR="007B7DDC">
        <w:t xml:space="preserve"> </w:t>
      </w:r>
      <w:r>
        <w:t>Greene’s could be found in violation of the Title VII of</w:t>
      </w:r>
      <w:r w:rsidR="007B7DDC">
        <w:t xml:space="preserve"> the Civil Rights Act of 1964, unless it can be proven that they were already going to release Ms. Lawson from employment before her announcement.</w:t>
      </w:r>
    </w:p>
    <w:p w14:paraId="57D6D9AD" w14:textId="77777777" w:rsidR="007B7DDC" w:rsidRDefault="007B7DDC" w:rsidP="007B7DDC">
      <w:pPr>
        <w:pStyle w:val="APA"/>
        <w:ind w:firstLine="0"/>
        <w:rPr>
          <w:b/>
          <w:u w:val="single"/>
        </w:rPr>
      </w:pPr>
    </w:p>
    <w:p w14:paraId="778E7E31" w14:textId="4662D01E" w:rsidR="007B7DDC" w:rsidRDefault="007B7DDC" w:rsidP="007B7DDC">
      <w:pPr>
        <w:pStyle w:val="APA"/>
        <w:ind w:firstLine="0"/>
        <w:rPr>
          <w:b/>
          <w:u w:val="single"/>
        </w:rPr>
      </w:pPr>
      <w:r>
        <w:rPr>
          <w:b/>
          <w:u w:val="single"/>
        </w:rPr>
        <w:t>Contract Issues</w:t>
      </w:r>
    </w:p>
    <w:p w14:paraId="03FFBB66" w14:textId="7DF86C8D" w:rsidR="002E069D" w:rsidRDefault="002E069D" w:rsidP="002E069D">
      <w:pPr>
        <w:pStyle w:val="APA"/>
      </w:pPr>
      <w:r>
        <w:t>A contract is an agreement that is legally enforceable by the courts.</w:t>
      </w:r>
      <w:r w:rsidR="00CF4417">
        <w:t xml:space="preserve"> </w:t>
      </w:r>
      <w:bookmarkStart w:id="9" w:name="C423739809490741I0T423747629629630"/>
      <w:r w:rsidR="00CF4417">
        <w:t>(McAdams, 2014, p. 881)</w:t>
      </w:r>
      <w:bookmarkEnd w:id="9"/>
      <w:r w:rsidR="00CF4417">
        <w:t xml:space="preserve"> In order for a contract to be legally enforceable it must contain an agreement, consideration, capacity, genuineness of assent, and legally of purpose. </w:t>
      </w:r>
      <w:bookmarkStart w:id="10" w:name="C423739809490741I0T423747644907407"/>
      <w:r w:rsidR="00CF4417">
        <w:t>(McAdams, 2014, p. 234)</w:t>
      </w:r>
      <w:bookmarkEnd w:id="10"/>
      <w:r w:rsidR="00CF4417">
        <w:t xml:space="preserve"> According to the current case, when Ms. Lawson signed the confidentiality agreement she was signing a contract.  All five of the requirements were met with the confidentiality agreement and hence it is an enforceable contract between Greene’s and Ms. Lawson.  So when Ms. Lawson conveyed the patent information about the Ever-Gold to Howells she was in breach of the confidentiality agreement with Greene’s.  This breach is prohibited by law and caused the beginning of the involvement of the court system.</w:t>
      </w:r>
    </w:p>
    <w:p w14:paraId="648FDC04" w14:textId="77777777" w:rsidR="00CF4417" w:rsidRDefault="00CF4417" w:rsidP="00CF4417">
      <w:pPr>
        <w:pStyle w:val="APA"/>
        <w:ind w:firstLine="0"/>
      </w:pPr>
    </w:p>
    <w:p w14:paraId="3E695B07" w14:textId="2D1103D4" w:rsidR="00CF4417" w:rsidRDefault="00CF4417" w:rsidP="00CF4417">
      <w:pPr>
        <w:pStyle w:val="APA"/>
        <w:ind w:firstLine="0"/>
        <w:rPr>
          <w:b/>
          <w:u w:val="single"/>
        </w:rPr>
      </w:pPr>
      <w:r>
        <w:rPr>
          <w:b/>
          <w:u w:val="single"/>
        </w:rPr>
        <w:t>Laws</w:t>
      </w:r>
    </w:p>
    <w:p w14:paraId="1ED7EA42" w14:textId="5912494E" w:rsidR="003A3D0C" w:rsidRDefault="00CF4417" w:rsidP="003A3D0C">
      <w:pPr>
        <w:pStyle w:val="APA"/>
      </w:pPr>
      <w:r>
        <w:t xml:space="preserve">After Ms. </w:t>
      </w:r>
      <w:r w:rsidR="0049475E">
        <w:t>Lawson’s</w:t>
      </w:r>
      <w:r>
        <w:t xml:space="preserve">’ decided to sell out Greene’s Ever Gold plans to her new employer, Greene’s accused her of failing to perform and adhere to the agreement Greene’s establishes with it’s employees when they sign the confidentiality agreement.   Under the law Ms. Lawson failed to uphold her end of the agreement and hence breached the confidentiality contract, giving Greene’s authority to sue her.  In response, Ms. Lawson decided to counter sue Greene’s for wrongful termination when she was let go because her job was eliminated.  Although Ms. Lawson argued that Greene’s was lying about the downsizing and was actually letting her go due </w:t>
      </w:r>
      <w:r>
        <w:lastRenderedPageBreak/>
        <w:t xml:space="preserve">to her pregnancy announcement.  If this claim </w:t>
      </w:r>
      <w:r w:rsidR="0049475E">
        <w:t>were</w:t>
      </w:r>
      <w:r>
        <w:t xml:space="preserve"> proven to be true, then Greene’s would be also breaking the law in laying her off due to the pregnancy</w:t>
      </w:r>
      <w:r w:rsidR="00151B9D">
        <w:t xml:space="preserve">.  Although according to the American with Disabilities Act, pregnancy itself is not considered a disability, </w:t>
      </w:r>
      <w:r w:rsidR="00151B9D" w:rsidRPr="00151B9D">
        <w:t xml:space="preserve">complications resulting from pregnancy may be impairments that the employer will need to consider and accommodate on a case-by-case basis. </w:t>
      </w:r>
      <w:bookmarkStart w:id="11" w:name="C423747883796296I0T423747896296296"/>
      <w:r w:rsidR="003A3D0C">
        <w:t>("Pregnancy," 2015, para. 2)</w:t>
      </w:r>
      <w:bookmarkEnd w:id="11"/>
      <w:r w:rsidR="003A3D0C">
        <w:t xml:space="preserve"> Pregnancy is recognized as a temporary disability under the Pregnancy Disability Act and the </w:t>
      </w:r>
      <w:r w:rsidR="003A3D0C" w:rsidRPr="003A3D0C">
        <w:t>employer or oth</w:t>
      </w:r>
      <w:r w:rsidR="003A3D0C">
        <w:t>er covered entity must treat the pregnant individual</w:t>
      </w:r>
      <w:r w:rsidR="003A3D0C" w:rsidRPr="003A3D0C">
        <w:t xml:space="preserve"> in the same way as it treats any other temporarily disabled employee. </w:t>
      </w:r>
      <w:bookmarkStart w:id="12" w:name="C423747913425926I0T423747924537037"/>
      <w:r w:rsidR="003A3D0C">
        <w:t>("PDA," 2016, para. 3)</w:t>
      </w:r>
      <w:bookmarkEnd w:id="12"/>
      <w:r w:rsidR="003A3D0C">
        <w:t xml:space="preserve"> So if Ms. Lawson </w:t>
      </w:r>
      <w:r w:rsidR="0049475E">
        <w:t>were</w:t>
      </w:r>
      <w:r w:rsidR="003A3D0C">
        <w:t xml:space="preserve"> able to prove that Greene’s laid her off due to the pregnancy and not downsizing she would have a legitimate case for discrimination and wrongful termination.</w:t>
      </w:r>
    </w:p>
    <w:p w14:paraId="6C5F7CA4" w14:textId="3AC3D433" w:rsidR="003A3D0C" w:rsidRDefault="00BA581B" w:rsidP="00BA581B">
      <w:pPr>
        <w:pStyle w:val="APA"/>
        <w:ind w:firstLine="0"/>
        <w:jc w:val="center"/>
        <w:rPr>
          <w:b/>
          <w:u w:val="single"/>
        </w:rPr>
      </w:pPr>
      <w:r w:rsidRPr="00BA581B">
        <w:rPr>
          <w:b/>
          <w:u w:val="single"/>
        </w:rPr>
        <w:t>Precedent</w:t>
      </w:r>
    </w:p>
    <w:p w14:paraId="05B07D46" w14:textId="6D182E1C" w:rsidR="00BA581B" w:rsidRDefault="00BA581B" w:rsidP="00BA581B">
      <w:pPr>
        <w:pStyle w:val="APA"/>
        <w:ind w:firstLine="0"/>
        <w:rPr>
          <w:b/>
          <w:u w:val="single"/>
        </w:rPr>
      </w:pPr>
      <w:r>
        <w:rPr>
          <w:b/>
          <w:u w:val="single"/>
        </w:rPr>
        <w:t>Unlawful Termination</w:t>
      </w:r>
    </w:p>
    <w:p w14:paraId="2A0C2BFE" w14:textId="4E6C34DD" w:rsidR="001C52F7" w:rsidRDefault="00441BAD" w:rsidP="001C52F7">
      <w:pPr>
        <w:pStyle w:val="APA"/>
      </w:pPr>
      <w:r>
        <w:t xml:space="preserve">The first precedent in this case is Ms. </w:t>
      </w:r>
      <w:r w:rsidR="0049475E">
        <w:t>Lawson’s</w:t>
      </w:r>
      <w:r>
        <w:t xml:space="preserve">’ claim that she was wrongfully terminated due to her becoming pregnant and needing extra time to deal with high risk factors associated with the pregnancy.  Her defense is supported by multiple pregnancy discrimination cases brought about by the Equal Employment Opportunity Commission, (EEOC), including one of the most known cases, UPS vs. Young.  In this case, UPS denied the employees request for light duty due to being pregnant and not being able to lift the required amount for her job. </w:t>
      </w:r>
      <w:r w:rsidR="001C52F7">
        <w:t xml:space="preserve"> </w:t>
      </w:r>
      <w:r w:rsidR="001C52F7" w:rsidRPr="001C52F7">
        <w:t>“The Court made clear that employers may not refuse to accommodate pregnant workers based on considerations of cost or convenience when they accommodate other workers.”</w:t>
      </w:r>
      <w:r w:rsidR="001C52F7">
        <w:t xml:space="preserve"> </w:t>
      </w:r>
      <w:bookmarkStart w:id="13" w:name="C423749158564815I0T423749171990741"/>
      <w:r w:rsidR="001C52F7">
        <w:t>(Leber, 2015, para. 3)</w:t>
      </w:r>
      <w:bookmarkEnd w:id="13"/>
      <w:r w:rsidR="001C52F7">
        <w:t xml:space="preserve"> </w:t>
      </w:r>
    </w:p>
    <w:p w14:paraId="2B6F38AF" w14:textId="0CDCA119" w:rsidR="001C52F7" w:rsidRDefault="001C52F7" w:rsidP="001C52F7">
      <w:pPr>
        <w:pStyle w:val="APA"/>
      </w:pPr>
      <w:r>
        <w:t xml:space="preserve">Greene’s needs to convey that Ms. Lawson was not terminated due to her pregnancy but due to downsizing and her multiple incidences of tardiness.  The supporting case in reference to </w:t>
      </w:r>
      <w:r>
        <w:lastRenderedPageBreak/>
        <w:t>tardiness is seen in Drysdale Vs. HRD</w:t>
      </w:r>
      <w:r w:rsidR="000A1E89">
        <w:t xml:space="preserve"> </w:t>
      </w:r>
      <w:bookmarkStart w:id="14" w:name="C423749211111111I0T423749225347222"/>
      <w:r w:rsidR="000A1E89">
        <w:t>("Drysdale," 1978, para. 1)</w:t>
      </w:r>
      <w:bookmarkEnd w:id="14"/>
      <w:r w:rsidR="000A1E89">
        <w:t xml:space="preserve">, in which the complainant was dismissed from her position due to repeated cases of tardiness. The </w:t>
      </w:r>
      <w:r w:rsidR="0049475E">
        <w:t>courts</w:t>
      </w:r>
      <w:r w:rsidR="000A1E89">
        <w:t xml:space="preserve"> issued a judgment that since the case was recurring then the conduct of the complainant was intentional and she was disinterested in her employer’s interests. </w:t>
      </w:r>
      <w:bookmarkStart w:id="15" w:name="C423749246180556I0T423749261805556"/>
      <w:r w:rsidR="000A1E89">
        <w:t>(Fox, 2014)</w:t>
      </w:r>
      <w:bookmarkEnd w:id="15"/>
      <w:r w:rsidR="000A1E89">
        <w:t xml:space="preserve"> The same case can apply to Ms. Lawson where her past behavior over the past three years indicates that she is intentionally tardy on numerous occasions, which in Greene’s case can be seen as a lack of interest in her role within the organization warranting her dismissal from the company.</w:t>
      </w:r>
    </w:p>
    <w:p w14:paraId="5C9EACA7" w14:textId="77777777" w:rsidR="000A1E89" w:rsidRDefault="000A1E89" w:rsidP="000A1E89">
      <w:pPr>
        <w:pStyle w:val="APA"/>
        <w:ind w:firstLine="0"/>
      </w:pPr>
    </w:p>
    <w:p w14:paraId="4B5FDA1E" w14:textId="1E272A66" w:rsidR="000A1E89" w:rsidRDefault="000A1E89" w:rsidP="000A1E89">
      <w:pPr>
        <w:pStyle w:val="APA"/>
        <w:ind w:firstLine="0"/>
        <w:rPr>
          <w:b/>
          <w:u w:val="single"/>
        </w:rPr>
      </w:pPr>
      <w:r>
        <w:rPr>
          <w:b/>
          <w:u w:val="single"/>
        </w:rPr>
        <w:t>Contract Disputes</w:t>
      </w:r>
    </w:p>
    <w:p w14:paraId="3CEB9475" w14:textId="3860412F" w:rsidR="00910CF9" w:rsidRDefault="00910CF9" w:rsidP="00910CF9">
      <w:pPr>
        <w:pStyle w:val="APA"/>
      </w:pPr>
      <w:r>
        <w:t xml:space="preserve">Contract disputes within this case draw </w:t>
      </w:r>
      <w:r w:rsidR="0049475E">
        <w:t>precedence</w:t>
      </w:r>
      <w:r>
        <w:t xml:space="preserve"> from Payne </w:t>
      </w:r>
      <w:r w:rsidR="0049475E">
        <w:t>vs.</w:t>
      </w:r>
      <w:r>
        <w:t xml:space="preserve"> Western and Atlantic Railroad and Hillesland </w:t>
      </w:r>
      <w:r w:rsidR="0049475E">
        <w:t>vs.</w:t>
      </w:r>
      <w:r>
        <w:t xml:space="preserve"> Federal </w:t>
      </w:r>
      <w:r w:rsidR="0049475E">
        <w:t>land bank</w:t>
      </w:r>
      <w:r>
        <w:t xml:space="preserve"> Association.  Within the Payne case, the court held that the rail company could dismiss employees at will, be they many or few for a good cause.  </w:t>
      </w:r>
      <w:bookmarkStart w:id="16" w:name="C423749312500000I0T423749321990741"/>
      <w:r>
        <w:t>("Payne," 1884)</w:t>
      </w:r>
      <w:bookmarkEnd w:id="16"/>
      <w:r>
        <w:t xml:space="preserve"> In connecting this case with Ms. </w:t>
      </w:r>
      <w:r w:rsidR="0049475E">
        <w:t>Lawson’s</w:t>
      </w:r>
      <w:r>
        <w:t xml:space="preserve">’ situation, the cause is her </w:t>
      </w:r>
      <w:r w:rsidR="0049475E">
        <w:t>consistent</w:t>
      </w:r>
      <w:r>
        <w:t xml:space="preserve"> tardiness which renders her employment contract null and void.  </w:t>
      </w:r>
      <w:bookmarkStart w:id="17" w:name="C423749246180556I0T423749331250000"/>
      <w:r>
        <w:t>(Fox, 2014)</w:t>
      </w:r>
      <w:bookmarkEnd w:id="17"/>
      <w:r>
        <w:t xml:space="preserve">  </w:t>
      </w:r>
    </w:p>
    <w:p w14:paraId="5C0A0550" w14:textId="455AC8C5" w:rsidR="00174C25" w:rsidRDefault="00910CF9" w:rsidP="00174C25">
      <w:pPr>
        <w:pStyle w:val="APA"/>
      </w:pPr>
      <w:r>
        <w:t>The Hillesland case decided that the Federal Bank could dismiss Hillesland due to moral reasons such as lateness</w:t>
      </w:r>
      <w:r w:rsidR="00174C25">
        <w:t xml:space="preserve"> because they were an at will employer. </w:t>
      </w:r>
      <w:r w:rsidR="00174C25" w:rsidRPr="00174C25">
        <w:t>The at-will rule discussed in the case is that an employer may discharge an employee for good cause, for no cause or even for cause morally wrong, without being thereby guilty of legal wrong.</w:t>
      </w:r>
      <w:r w:rsidR="00174C25">
        <w:t xml:space="preserve"> </w:t>
      </w:r>
      <w:bookmarkStart w:id="18" w:name="C423749413194444I0T423749421990741"/>
      <w:r w:rsidR="00D32A3F">
        <w:t>("Hillesland," 1987)</w:t>
      </w:r>
      <w:bookmarkEnd w:id="18"/>
      <w:r w:rsidR="00D32A3F">
        <w:t xml:space="preserve"> In reference to Ms. Lawson, Greene’s had every right to terminate her due to her chronic tardiness and disregard for the company.</w:t>
      </w:r>
    </w:p>
    <w:p w14:paraId="7557D387" w14:textId="77777777" w:rsidR="00D32A3F" w:rsidRDefault="00D32A3F" w:rsidP="00D32A3F">
      <w:pPr>
        <w:pStyle w:val="APA"/>
        <w:ind w:firstLine="0"/>
      </w:pPr>
    </w:p>
    <w:p w14:paraId="180926EB" w14:textId="77777777" w:rsidR="0049475E" w:rsidRDefault="0049475E" w:rsidP="00D32A3F">
      <w:pPr>
        <w:pStyle w:val="APA"/>
        <w:ind w:firstLine="0"/>
      </w:pPr>
    </w:p>
    <w:p w14:paraId="123AD242" w14:textId="77777777" w:rsidR="0049475E" w:rsidRDefault="0049475E" w:rsidP="00D32A3F">
      <w:pPr>
        <w:pStyle w:val="APA"/>
        <w:ind w:firstLine="0"/>
      </w:pPr>
    </w:p>
    <w:p w14:paraId="46D5089B" w14:textId="1FE73665" w:rsidR="00D32A3F" w:rsidRDefault="0049475E" w:rsidP="0049475E">
      <w:pPr>
        <w:pStyle w:val="APA"/>
        <w:ind w:firstLine="0"/>
        <w:jc w:val="center"/>
        <w:rPr>
          <w:b/>
          <w:u w:val="single"/>
        </w:rPr>
      </w:pPr>
      <w:r>
        <w:rPr>
          <w:b/>
          <w:u w:val="single"/>
        </w:rPr>
        <w:lastRenderedPageBreak/>
        <w:t>Facts To Be Determined</w:t>
      </w:r>
    </w:p>
    <w:p w14:paraId="7A5166F1" w14:textId="7518C58C" w:rsidR="0049475E" w:rsidRDefault="0049475E" w:rsidP="0049475E">
      <w:pPr>
        <w:pStyle w:val="APA"/>
      </w:pPr>
      <w:r>
        <w:t>Greene’s provided Ms. Lawson with employment for over three years, and even over looked her constant tardiness because of her impressive ability to do her job.  She was provided with all of the benefits for her position as long as she kept the organization’s policies and terms of her contract.  In order to proceed with this suit, Greene’s needs to provide proof that they were intending on relieving Ms. Lawson of her position due to downsizing and not her pregnancy.  If Greene’s provides such documentation, then it will show proof that Ms. Lawson breached the contract by giving patented information to a competitor and was released due to downsizing.</w:t>
      </w:r>
    </w:p>
    <w:p w14:paraId="65E1AFF8" w14:textId="77777777" w:rsidR="0049475E" w:rsidRPr="0049475E" w:rsidRDefault="0049475E" w:rsidP="0049475E">
      <w:pPr>
        <w:pStyle w:val="APA"/>
      </w:pPr>
    </w:p>
    <w:p w14:paraId="35C6D585" w14:textId="77777777" w:rsidR="0032795F" w:rsidRDefault="0032795F" w:rsidP="0032795F">
      <w:pPr>
        <w:pStyle w:val="APAHeadingCenter"/>
        <w:rPr>
          <w:b/>
        </w:rPr>
      </w:pPr>
      <w:r w:rsidRPr="004777FE">
        <w:rPr>
          <w:b/>
        </w:rPr>
        <w:t>Application of the Law to the Facts</w:t>
      </w:r>
    </w:p>
    <w:p w14:paraId="27FA1A2C" w14:textId="77777777" w:rsidR="0032795F" w:rsidRPr="004D44C7" w:rsidRDefault="0032795F" w:rsidP="0032795F">
      <w:pPr>
        <w:pStyle w:val="APA"/>
      </w:pPr>
    </w:p>
    <w:p w14:paraId="40CACF12" w14:textId="77777777" w:rsidR="0032795F" w:rsidRDefault="0032795F" w:rsidP="0032795F">
      <w:pPr>
        <w:pStyle w:val="APA"/>
      </w:pPr>
      <w:r>
        <w:t xml:space="preserve">This document is intended to bring legal consequences to the involved parties, Greene’s Jewelers and Jennifer Lawson.  Both parties brought about accusations against each other that were founded in law.  The rule of law will be applied to either side of the case when each element is satisfied by fact.  Greene’s Jewelers accused Ms. Lawson of a breach of their confidentiality contract by providing proprietary information to her new employer, and Ms. Lawson fought back by counter-suing Greene’s for unlawful termination due to her pregnancy.  </w:t>
      </w:r>
    </w:p>
    <w:p w14:paraId="3F76AB26" w14:textId="77777777" w:rsidR="0032795F" w:rsidRDefault="0032795F" w:rsidP="0032795F">
      <w:pPr>
        <w:pStyle w:val="APA"/>
      </w:pPr>
      <w:r>
        <w:t xml:space="preserve">When Ms. Lawson was hired three years ago by Greene’s’ Jewelers she signed a confidentiality agreement, by which she agreed to never disclose any information she might acquire regarding the process of creating Ever Gold. According to Tony McAdams, a contract is an agreement that is legally enforceable by the courts </w:t>
      </w:r>
      <w:bookmarkStart w:id="19" w:name="C423739809490741I0T423947570833333"/>
      <w:r>
        <w:t xml:space="preserve">(McAdams, </w:t>
      </w:r>
      <w:r w:rsidRPr="00A0247A">
        <w:t>2014</w:t>
      </w:r>
      <w:r>
        <w:t>, p. 881)</w:t>
      </w:r>
      <w:bookmarkEnd w:id="19"/>
      <w:r>
        <w:t xml:space="preserve">, and thus the confidentiality contract is one such document.  </w:t>
      </w:r>
      <w:r w:rsidRPr="00A0247A">
        <w:t>When</w:t>
      </w:r>
      <w:r>
        <w:t xml:space="preserve"> Ms. Lawson offered this information to Howell’s as a stipulation to her being hired, she broke this agreement and thus broke the law.  </w:t>
      </w:r>
      <w:r>
        <w:lastRenderedPageBreak/>
        <w:t xml:space="preserve">Howell Jewelry also broke the law when they accepted Ms. Lawson’s’ proposal and confidential information.  </w:t>
      </w:r>
    </w:p>
    <w:p w14:paraId="4690A0D4" w14:textId="64DD2070" w:rsidR="0032795F" w:rsidRDefault="0032795F" w:rsidP="0032795F">
      <w:pPr>
        <w:pStyle w:val="APA"/>
      </w:pPr>
      <w:r>
        <w:t>Termination of Ms. Lawson from her job may not be deemed as wrongful due to Greene’s’ claim that it was based upon required downsizing by the company and not her pregnancy. T</w:t>
      </w:r>
      <w:r w:rsidRPr="00C8497A">
        <w:t>he Pregnancy Discrimination Act (PDA) is a federal law that prohibits employers with 15 or more employees from discriminating against or harassing employees due to pregnancy, childbirth, or a related medical condition.</w:t>
      </w:r>
      <w:r>
        <w:t xml:space="preserve"> </w:t>
      </w:r>
      <w:bookmarkStart w:id="20" w:name="C423747913425926I0T423947653009259"/>
      <w:r>
        <w:t>("PDA," 2016, para. 2)</w:t>
      </w:r>
      <w:bookmarkEnd w:id="20"/>
      <w:r>
        <w:t xml:space="preserve"> Ms. Lawson would have to prove beyond a reasonable doubt that Greene’s’ terminated her solely on her pregnancy announcement and not due to downsizing. As long as Greene’s’ laid off all of the other junior executive secretaries as they stated they were going to, Ms. Lawson does not have a justified case for wrongful termination. </w:t>
      </w:r>
      <w:bookmarkStart w:id="21" w:name="_GoBack"/>
      <w:bookmarkEnd w:id="21"/>
    </w:p>
    <w:p w14:paraId="3576BE8E" w14:textId="77777777" w:rsidR="0032795F" w:rsidRDefault="0032795F" w:rsidP="0032795F">
      <w:pPr>
        <w:pStyle w:val="APA"/>
      </w:pPr>
    </w:p>
    <w:p w14:paraId="277929C0" w14:textId="77777777" w:rsidR="0032795F" w:rsidRDefault="0032795F" w:rsidP="0032795F">
      <w:pPr>
        <w:pStyle w:val="APA"/>
        <w:ind w:firstLine="0"/>
        <w:jc w:val="center"/>
        <w:rPr>
          <w:b/>
        </w:rPr>
      </w:pPr>
      <w:r>
        <w:rPr>
          <w:b/>
        </w:rPr>
        <w:t>Impact Assessment</w:t>
      </w:r>
    </w:p>
    <w:p w14:paraId="6E436E42" w14:textId="77777777" w:rsidR="0032795F" w:rsidRDefault="0032795F" w:rsidP="0032795F">
      <w:pPr>
        <w:pStyle w:val="APA"/>
        <w:ind w:firstLine="0"/>
        <w:jc w:val="center"/>
        <w:rPr>
          <w:b/>
        </w:rPr>
      </w:pPr>
    </w:p>
    <w:p w14:paraId="2BE9CD11" w14:textId="77777777" w:rsidR="0032795F" w:rsidRDefault="0032795F" w:rsidP="0032795F">
      <w:pPr>
        <w:pStyle w:val="APA"/>
        <w:ind w:firstLine="0"/>
        <w:rPr>
          <w:b/>
        </w:rPr>
      </w:pPr>
      <w:r>
        <w:rPr>
          <w:b/>
        </w:rPr>
        <w:t>Public Perception</w:t>
      </w:r>
    </w:p>
    <w:p w14:paraId="436CDF04" w14:textId="77777777" w:rsidR="0032795F" w:rsidRDefault="0032795F" w:rsidP="0032795F">
      <w:pPr>
        <w:pStyle w:val="APA"/>
        <w:ind w:firstLine="0"/>
        <w:rPr>
          <w:b/>
        </w:rPr>
      </w:pPr>
    </w:p>
    <w:p w14:paraId="42B46E20" w14:textId="77777777" w:rsidR="0032795F" w:rsidRDefault="0032795F" w:rsidP="0032795F">
      <w:pPr>
        <w:pStyle w:val="APA"/>
      </w:pPr>
      <w:r>
        <w:t xml:space="preserve">Greene’s’ public perception could be destroyed by Ms. Lawson’s’ lawsuit, along with the aftermath of her selling their patented information to Howell Jewelry.  When Howell gained the private information and created their own Ever Gold, Greene’s’ lost the exclusivity of the market.  Greene’s’ could also be seen as careless allowing Ms. Lawson to take home the proprietary information after she had been terminated. They should have gone through Ms. Lawson’s’ things before she packed them up and left the building. </w:t>
      </w:r>
    </w:p>
    <w:p w14:paraId="1EF19B04" w14:textId="77777777" w:rsidR="0032795F" w:rsidRDefault="0032795F" w:rsidP="0032795F">
      <w:pPr>
        <w:pStyle w:val="APA"/>
      </w:pPr>
      <w:r>
        <w:lastRenderedPageBreak/>
        <w:t xml:space="preserve">Greene’s’ will probably be hurt the most by Ms. Lawson’s’ lawsuit in the court of public opinion, whether or not they win the case.  Their dismissal of Ms. Lawson due to downsizing will probably be overlooked once it is known that she was discharged while pregnant.  Her argument will open up a large controversy on the many issues surrounding wrongful termination, including gender discrimination and non-tolerance of required sick time due to pregnancy.  A classic example of pregnancy affecting a company’s image is the Sandy Baratta v Oracle case of 2000.  Not only did Oracle loose the case to Baratta, but also the company suffered a huge financial loss, along with a loss of the publics’ trust and respect. They also had to go through more wrongful termination lawsuits in the following years.  </w:t>
      </w:r>
    </w:p>
    <w:p w14:paraId="35D4B6AE" w14:textId="77777777" w:rsidR="0032795F" w:rsidRDefault="0032795F" w:rsidP="0032795F">
      <w:pPr>
        <w:pStyle w:val="APA"/>
      </w:pPr>
    </w:p>
    <w:p w14:paraId="3C70FCF7" w14:textId="77777777" w:rsidR="0032795F" w:rsidRDefault="0032795F" w:rsidP="0032795F">
      <w:pPr>
        <w:pStyle w:val="APA"/>
        <w:ind w:firstLine="0"/>
        <w:rPr>
          <w:b/>
        </w:rPr>
      </w:pPr>
      <w:r>
        <w:rPr>
          <w:b/>
        </w:rPr>
        <w:t>Damages</w:t>
      </w:r>
    </w:p>
    <w:p w14:paraId="55A55BB5" w14:textId="77777777" w:rsidR="0032795F" w:rsidRDefault="0032795F" w:rsidP="0032795F">
      <w:pPr>
        <w:pStyle w:val="APA"/>
      </w:pPr>
      <w:r>
        <w:t xml:space="preserve">The biggest damage within these two cases will be the fact that Howell Jewelry now has the secret formula to Greene’s’ Ever-Gold. This will reduce the market for Greene’s’ productivity because there will now be similar products out there competing for the same audience.  Greene’s’ will now have to develop a new outstanding product in order to gain its exclusivity back through the public.  However, when Howell changed the formula so as to avoid any patent infringement issues, a customer developed a disfiguring rash that could be seen as an advantage for Greene’s’.  Other customers may decide to stick with Greene’s’ because they are the ones who know how to create the correct Ever-Gold.  </w:t>
      </w:r>
    </w:p>
    <w:p w14:paraId="43BC0FA3" w14:textId="77777777" w:rsidR="0032795F" w:rsidRDefault="0032795F" w:rsidP="0032795F">
      <w:pPr>
        <w:pStyle w:val="APA"/>
      </w:pPr>
      <w:r>
        <w:t>The wrongful termination of Ms. Lawson can be disproven by the dismissal of the other junior executive secretaries.  Discrimination based on her pregnancy will therefore be void and she will not have a case.  Due to this outcome, many of Greene’s’ customers will acknowledge their commitment to promotion of gender equality.</w:t>
      </w:r>
    </w:p>
    <w:p w14:paraId="20B0B4BC" w14:textId="77777777" w:rsidR="0032795F" w:rsidRDefault="0032795F" w:rsidP="0032795F">
      <w:pPr>
        <w:pStyle w:val="APA"/>
      </w:pPr>
    </w:p>
    <w:p w14:paraId="361265F1" w14:textId="77777777" w:rsidR="0032795F" w:rsidRDefault="0032795F" w:rsidP="0032795F">
      <w:pPr>
        <w:pStyle w:val="APA"/>
        <w:ind w:firstLine="0"/>
        <w:rPr>
          <w:b/>
        </w:rPr>
      </w:pPr>
      <w:r>
        <w:rPr>
          <w:b/>
        </w:rPr>
        <w:t>Business Practices</w:t>
      </w:r>
    </w:p>
    <w:p w14:paraId="7ADD99A0" w14:textId="77777777" w:rsidR="0032795F" w:rsidRDefault="0032795F" w:rsidP="0032795F">
      <w:pPr>
        <w:pStyle w:val="APA"/>
        <w:ind w:firstLine="0"/>
        <w:rPr>
          <w:b/>
        </w:rPr>
      </w:pPr>
    </w:p>
    <w:p w14:paraId="225B8F7B" w14:textId="77777777" w:rsidR="0032795F" w:rsidRDefault="0032795F" w:rsidP="0032795F">
      <w:pPr>
        <w:pStyle w:val="APA"/>
      </w:pPr>
      <w:r>
        <w:t xml:space="preserve">Greene’s’ should modify specific business practices in the future that will help to prevent similar situations from occurring.  They should be more careful with any vital or confidential information that employees may have access to.  No employee should be in possession of vital documents for more than 24 hours, unnecessary copies should be immediately destroyed once not needed any more, and there should be a safe room where documents can be viewed.  An employee should be able to accidently bring one of these documents home with them, especially when they are terminated.  If an employee is terminated, security should empty out their desk of all personal items in an attempt to prevent the removal of confidential items. </w:t>
      </w:r>
    </w:p>
    <w:p w14:paraId="2D9C1B01" w14:textId="77777777" w:rsidR="0032795F" w:rsidRDefault="0032795F" w:rsidP="0032795F">
      <w:pPr>
        <w:pStyle w:val="APA"/>
      </w:pPr>
      <w:r>
        <w:t>Termination of an employee should also be dealt with in a more sensitive, careful manner as not to suggest any forms of discrimination.  Greene’s’ should have accepted Ms. Lawson request for leave if they had not already announced the removal of all junior executive secretaries.  If Greene’s’ had dismissed all of the secretaries at the same time, there would have been no question as to why Ms. Lawson was being terminated.  Also, Greene’s’ could have used Ms. Lawson’s’ excessive tardiness as reason for dismissal instead of how they handle it.  In the future, employees should not be allowed to continue employment with excessive tardiness just because they are good at their job.  If the employee manual stated a consequence for excessive tardiness, then this should have been followed no matter the situation.</w:t>
      </w:r>
    </w:p>
    <w:p w14:paraId="58C4CD7A" w14:textId="77777777" w:rsidR="0032795F" w:rsidRDefault="0032795F" w:rsidP="0032795F">
      <w:pPr>
        <w:overflowPunct/>
        <w:autoSpaceDE/>
        <w:autoSpaceDN/>
        <w:adjustRightInd/>
        <w:textAlignment w:val="auto"/>
        <w:rPr>
          <w:sz w:val="24"/>
        </w:rPr>
      </w:pPr>
      <w:r>
        <w:br w:type="page"/>
      </w:r>
    </w:p>
    <w:p w14:paraId="39EE872E" w14:textId="79F48CB4" w:rsidR="00D32A3F" w:rsidRDefault="00D32A3F">
      <w:pPr>
        <w:overflowPunct/>
        <w:autoSpaceDE/>
        <w:autoSpaceDN/>
        <w:adjustRightInd/>
        <w:textAlignment w:val="auto"/>
        <w:rPr>
          <w:sz w:val="24"/>
        </w:rPr>
      </w:pPr>
    </w:p>
    <w:p w14:paraId="6DD9FD8A" w14:textId="68D2B34B" w:rsidR="00A40CB5" w:rsidRDefault="00D32A3F" w:rsidP="00D32A3F">
      <w:pPr>
        <w:pStyle w:val="APAHeadingCenterIncludedInTOC"/>
      </w:pPr>
      <w:r>
        <w:t>References</w:t>
      </w:r>
    </w:p>
    <w:p w14:paraId="763545DE" w14:textId="6028BE9C" w:rsidR="00D32A3F" w:rsidRDefault="00D32A3F" w:rsidP="00D32A3F">
      <w:pPr>
        <w:pStyle w:val="APAReference"/>
      </w:pPr>
      <w:bookmarkStart w:id="22" w:name="R423739638425926I0"/>
      <w:proofErr w:type="gramStart"/>
      <w:r>
        <w:t>Blackmer, W. S. (2009).</w:t>
      </w:r>
      <w:proofErr w:type="gramEnd"/>
      <w:r>
        <w:t xml:space="preserve"> NDAs</w:t>
      </w:r>
      <w:r w:rsidR="0049475E">
        <w:t>: Worth</w:t>
      </w:r>
      <w:r>
        <w:t xml:space="preserve"> the Effort? Retrieved from http://www.infolawgroup.com/2009/11/articles/information-security/ndas-worth-the-effort/</w:t>
      </w:r>
      <w:bookmarkEnd w:id="22"/>
    </w:p>
    <w:p w14:paraId="50273DA5" w14:textId="754758A7" w:rsidR="00D32A3F" w:rsidRDefault="00D32A3F" w:rsidP="00D32A3F">
      <w:pPr>
        <w:pStyle w:val="APAReference"/>
      </w:pPr>
      <w:bookmarkStart w:id="23" w:name="R423749211111111I0"/>
      <w:proofErr w:type="gramStart"/>
      <w:r>
        <w:t>Drysdale v. Department of Human Resources Development.</w:t>
      </w:r>
      <w:proofErr w:type="gramEnd"/>
      <w:r>
        <w:t xml:space="preserve"> (1978). Retrieved from http://law.justia.com/cases/california/court-of-appeal/3d/77/345.html</w:t>
      </w:r>
      <w:bookmarkEnd w:id="23"/>
    </w:p>
    <w:p w14:paraId="4D20FBDF" w14:textId="0F174FBD" w:rsidR="00D32A3F" w:rsidRDefault="00D32A3F" w:rsidP="00D32A3F">
      <w:pPr>
        <w:pStyle w:val="APAReference"/>
      </w:pPr>
      <w:bookmarkStart w:id="24" w:name="R423747883796296I0"/>
      <w:r>
        <w:t>EEO: Disability: Is pregnancy covered under the Americans with Disabilities Act? - See more at: http://www.shrm.org/templatestools/hrqa/pages/pregnancyandada.aspx#sthash.5fhoW8U3.dpuf. (2015). Retrieved from http://www.shrm.org/templatestools/hrqa/pages/pregnancyandada.aspx</w:t>
      </w:r>
      <w:bookmarkEnd w:id="24"/>
    </w:p>
    <w:p w14:paraId="0C5AC534" w14:textId="5FE9FBAE" w:rsidR="00D32A3F" w:rsidRDefault="00D32A3F" w:rsidP="00D32A3F">
      <w:pPr>
        <w:pStyle w:val="APAReference"/>
      </w:pPr>
      <w:bookmarkStart w:id="25" w:name="R423749246180556I0"/>
      <w:r>
        <w:t xml:space="preserve">Fox, A. (2014). </w:t>
      </w:r>
      <w:r>
        <w:rPr>
          <w:i/>
        </w:rPr>
        <w:t>Beyond Contract: Work, Power and Trust Relations</w:t>
      </w:r>
      <w:r>
        <w:t>. Boston: Farber and Farber.</w:t>
      </w:r>
      <w:bookmarkEnd w:id="25"/>
    </w:p>
    <w:p w14:paraId="2E692258" w14:textId="3DDEEAE6" w:rsidR="00D32A3F" w:rsidRDefault="00D32A3F" w:rsidP="00D32A3F">
      <w:pPr>
        <w:pStyle w:val="APAReference"/>
      </w:pPr>
      <w:bookmarkStart w:id="26" w:name="R423749413194444I0"/>
      <w:proofErr w:type="gramStart"/>
      <w:r>
        <w:t>Hillesland v. Federal Land Bank Association of Grand Forks.</w:t>
      </w:r>
      <w:proofErr w:type="gramEnd"/>
      <w:r>
        <w:t xml:space="preserve"> (1987). Retrieved from http://www.casebriefs.com/blog/law/commercial-law/commercial-law-keyed-to-lopucki/performance/hillesland-v-federal-land-bank-association-of-grand-forks/2/</w:t>
      </w:r>
      <w:bookmarkEnd w:id="26"/>
    </w:p>
    <w:p w14:paraId="2BE640E3" w14:textId="24A86D2F" w:rsidR="00D32A3F" w:rsidRDefault="00D32A3F" w:rsidP="00D32A3F">
      <w:pPr>
        <w:pStyle w:val="APAReference"/>
      </w:pPr>
      <w:bookmarkStart w:id="27" w:name="R423749158564815I0"/>
      <w:r>
        <w:t xml:space="preserve">Leber, R. (2015). </w:t>
      </w:r>
      <w:proofErr w:type="gramStart"/>
      <w:r>
        <w:t>The Supreme Court Just Sided with Pregnant Working Women.</w:t>
      </w:r>
      <w:proofErr w:type="gramEnd"/>
      <w:r>
        <w:t xml:space="preserve"> Retrieved from https://newrepublic.com/article/121376/supreme-court-hands-pregnant-workers-win-young-vs-ups</w:t>
      </w:r>
      <w:bookmarkEnd w:id="27"/>
    </w:p>
    <w:p w14:paraId="6C71627D" w14:textId="7AF157AE" w:rsidR="00D32A3F" w:rsidRDefault="00D32A3F" w:rsidP="00D32A3F">
      <w:pPr>
        <w:pStyle w:val="APAReference"/>
      </w:pPr>
      <w:bookmarkStart w:id="28" w:name="R423739809490741I0"/>
      <w:r>
        <w:t xml:space="preserve">McAdams, T. (2014). </w:t>
      </w:r>
      <w:r>
        <w:rPr>
          <w:i/>
        </w:rPr>
        <w:t xml:space="preserve">Law, Business and Society </w:t>
      </w:r>
      <w:r>
        <w:t>(11th ed.). New York: McGraw Hill.</w:t>
      </w:r>
      <w:bookmarkEnd w:id="28"/>
    </w:p>
    <w:p w14:paraId="6DCB4027" w14:textId="77777777" w:rsidR="0032795F" w:rsidRPr="0032795F" w:rsidRDefault="0032795F" w:rsidP="0032795F">
      <w:pPr>
        <w:pStyle w:val="APAReference"/>
      </w:pPr>
      <w:bookmarkStart w:id="29" w:name="R423948773842593I0"/>
      <w:r w:rsidRPr="0032795F">
        <w:t xml:space="preserve">Mueller, J. M. (2003). </w:t>
      </w:r>
      <w:proofErr w:type="gramStart"/>
      <w:r w:rsidRPr="0032795F">
        <w:t>An Introduction to patent law.</w:t>
      </w:r>
      <w:proofErr w:type="gramEnd"/>
      <w:r w:rsidRPr="0032795F">
        <w:t xml:space="preserve"> . Retrieved from https://books.google.com/books/about/An_introduction_to_patent_law.html</w:t>
      </w:r>
      <w:proofErr w:type="gramStart"/>
      <w:r w:rsidRPr="0032795F">
        <w:t>?id</w:t>
      </w:r>
      <w:proofErr w:type="gramEnd"/>
      <w:r w:rsidRPr="0032795F">
        <w:t>=kNtPAAAAMAAJ</w:t>
      </w:r>
      <w:bookmarkEnd w:id="29"/>
    </w:p>
    <w:p w14:paraId="08CD1D38" w14:textId="77777777" w:rsidR="0032795F" w:rsidRDefault="0032795F" w:rsidP="00D32A3F">
      <w:pPr>
        <w:pStyle w:val="APAReference"/>
      </w:pPr>
    </w:p>
    <w:p w14:paraId="17BDB6E2" w14:textId="63B17DBE" w:rsidR="00D32A3F" w:rsidRDefault="00D32A3F" w:rsidP="00D32A3F">
      <w:pPr>
        <w:pStyle w:val="APAReference"/>
      </w:pPr>
      <w:bookmarkStart w:id="30" w:name="R423747913425926I0"/>
      <w:r>
        <w:lastRenderedPageBreak/>
        <w:t>Pregnancy Discrimination. (2016). Retrieved from http://www.eeoc.gov/laws/types/pregnancy.cfm</w:t>
      </w:r>
      <w:bookmarkEnd w:id="30"/>
    </w:p>
    <w:p w14:paraId="2B31DA96" w14:textId="329B69EF" w:rsidR="00D32A3F" w:rsidRPr="00D32A3F" w:rsidRDefault="00D32A3F" w:rsidP="00D32A3F">
      <w:pPr>
        <w:pStyle w:val="APAReference"/>
      </w:pPr>
      <w:bookmarkStart w:id="31" w:name="R423749312500000I0"/>
      <w:r>
        <w:t>Western &amp; Atlantic Railroad v. Henderson 279 U.S. 639 (1929). (1884). Retrieved from https://supreme.justia.com/cases/federal/us/279/639/case.html</w:t>
      </w:r>
      <w:bookmarkEnd w:id="31"/>
    </w:p>
    <w:sectPr w:rsidR="00D32A3F" w:rsidRPr="00D32A3F" w:rsidSect="00B1127C">
      <w:headerReference w:type="default" r:id="rId14"/>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88FEA" w14:textId="77777777" w:rsidR="00174C25" w:rsidRDefault="00174C25">
      <w:r>
        <w:separator/>
      </w:r>
    </w:p>
  </w:endnote>
  <w:endnote w:type="continuationSeparator" w:id="0">
    <w:p w14:paraId="51357507" w14:textId="77777777" w:rsidR="00174C25" w:rsidRDefault="0017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A9893" w14:textId="77777777" w:rsidR="00E72384" w:rsidRDefault="00E7238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72B2C" w14:textId="77777777" w:rsidR="00E72384" w:rsidRDefault="00E7238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7418C" w14:textId="77777777" w:rsidR="00E72384" w:rsidRDefault="00E7238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07AD3" w14:textId="77777777" w:rsidR="00174C25" w:rsidRDefault="00174C25">
      <w:r>
        <w:separator/>
      </w:r>
    </w:p>
  </w:footnote>
  <w:footnote w:type="continuationSeparator" w:id="0">
    <w:p w14:paraId="72B31FCA" w14:textId="77777777" w:rsidR="00174C25" w:rsidRDefault="00174C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8A16A" w14:textId="77777777" w:rsidR="00E72384" w:rsidRDefault="00E7238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DB3B2" w14:textId="77777777" w:rsidR="00E72384" w:rsidRDefault="00E7238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5C74B" w14:textId="77777777" w:rsidR="00174C25" w:rsidRPr="00B1127C" w:rsidRDefault="00174C25" w:rsidP="00B1127C">
    <w:pPr>
      <w:pStyle w:val="APAPageHeading"/>
    </w:pPr>
    <w:r>
      <w:t>Running head: GREENE'S JEWELRY WHOLESALE VS. JENNIFER LAWSON</w:t>
    </w:r>
    <w:r>
      <w:tab/>
    </w:r>
    <w:r>
      <w:fldChar w:fldCharType="begin"/>
    </w:r>
    <w:r>
      <w:instrText xml:space="preserve"> PAGE  \* MERGEFORMAT </w:instrText>
    </w:r>
    <w:r>
      <w:fldChar w:fldCharType="separate"/>
    </w:r>
    <w:r w:rsidR="0032795F">
      <w:rPr>
        <w:noProof/>
      </w:rPr>
      <w:t>1</w:t>
    </w:r>
    <w: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A1F1A" w14:textId="77777777" w:rsidR="00174C25" w:rsidRPr="00B1127C" w:rsidRDefault="00174C25" w:rsidP="00B1127C">
    <w:pPr>
      <w:pStyle w:val="APAPageHeading"/>
    </w:pPr>
    <w:r>
      <w:t>GREENE'S JEWELRY WHOLESALE VS. JENNIFER LAWSON</w:t>
    </w:r>
    <w:r>
      <w:tab/>
    </w:r>
    <w:r>
      <w:fldChar w:fldCharType="begin"/>
    </w:r>
    <w:r>
      <w:instrText xml:space="preserve"> PAGE  \* MERGEFORMAT </w:instrText>
    </w:r>
    <w:r>
      <w:fldChar w:fldCharType="separate"/>
    </w:r>
    <w:r w:rsidR="005F3551">
      <w:rPr>
        <w:noProof/>
      </w:rPr>
      <w:t>8</w:t>
    </w:r>
    <w: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94B73" w14:textId="77777777" w:rsidR="00174C25" w:rsidRPr="00B1127C" w:rsidRDefault="00174C25" w:rsidP="00B1127C">
    <w:pPr>
      <w:pStyle w:val="APAPageHeading"/>
    </w:pPr>
    <w:r>
      <w:t>GREENE'S JEWELRY WHOLESALE VS. JENNIFER LAWSON</w:t>
    </w:r>
    <w:r>
      <w:tab/>
    </w:r>
    <w:r>
      <w:fldChar w:fldCharType="begin"/>
    </w:r>
    <w:r>
      <w:instrText xml:space="preserve"> PAGE  \* MERGEFORMAT </w:instrText>
    </w:r>
    <w:r>
      <w:fldChar w:fldCharType="separate"/>
    </w:r>
    <w:r w:rsidR="0032795F">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23739638425926I0" w:val="*1,262˜11W.~Scott~Blackmer~˜12032009˜13NDAs:Worth the Effort?˜2701˜1112˜112http://www.infolawgroup.com/2009/11/articles/information-security/ndas-worth-the-effort/˜"/>
    <w:docVar w:name="423739809490741I0" w:val="*1,597˜11Tony~~McAdams~˜12032014˜15Law, Business and Society˜2201˜15211th˜21951˜21940˜110New York˜111McGraw Hill˜1449˜269˜1196˜1609˜"/>
    <w:docVar w:name="423747883796296I0" w:val="*1,610˜13EEO: Disability: Is pregnancy covered under the Americans with Disabilities Act? - See more at: http://www.shrm.org/templatestools/hrqa/pages/pregnancyandada.aspx#sthash.5fhoW8U3.dpuf˜1234Pregnancy˜12032015˜2701˜1112˜112http://www.shrm.org/templatestools/hrqa/pages/pregnancyandada.aspx˜"/>
    <w:docVar w:name="423747913425926I0" w:val="*1,610˜13Pregnancy Discrimination˜1234PDA˜12032016˜2701˜1112˜112http://www.eeoc.gov/laws/types/pregnancy.cfm˜"/>
    <w:docVar w:name="423749158564815I0" w:val="*1,262˜11Rebecca~~Leber~˜12032015˜13The Supreme Court Just Sided with Pregnant Working Women˜2701˜1112˜112https://newrepublic.com/article/121376/supreme-court-hands-pregnant-workers-win-young-vs-ups˜"/>
    <w:docVar w:name="423749211111111I0" w:val="*1,610˜13Drysdale v. Department of Human Resources Development˜1234Drysdale˜12031978˜2701˜1112˜112http://law.justia.com/cases/california/court-of-appeal/3d/77/345.html˜"/>
    <w:docVar w:name="423749246180556I0" w:val="*1,597˜11A.~~Fox~˜12032014˜15Beyond Contract: Work, Power and Trust Relations˜2200˜152˜21951˜21940˜110Boston˜111Farber and Farber˜1449˜269˜1196˜1609˜"/>
    <w:docVar w:name="423749312500000I0" w:val="*1,610˜13Western &amp; Atlantic Railroad v. Henderson 279 U.S. 639 (1929)˜1234Payne˜12031884˜2701˜1112˜112https://supreme.justia.com/cases/federal/us/279/639/case.html˜"/>
    <w:docVar w:name="423749413194444I0" w:val="*1,610˜13Hillesland v. Federal Land Bank Association of Grand Forks˜1234Hillesland˜12031987˜2701˜1112˜112http://www.casebriefs.com/blog/law/commercial-law/commercial-law-keyed-to-lopucki/performance/hillesland-v-federal-land-bank-association-of-grand-forks/2/˜"/>
    <w:docVar w:name="bmHeaderInfo" w:val="GREENE'S JEWELRY WHOLESALE VS. JENNIFER LAWSON"/>
    <w:docVar w:name="cIsAbstract" w:val="False"/>
    <w:docVar w:name="cPaperAPAOrMLA" w:val="1"/>
    <w:docVar w:name="cUniquePaperID" w:val="423738481828704I0"/>
    <w:docVar w:name="HasTitlePage" w:val="True"/>
    <w:docVar w:name="IncludeAnnotations" w:val="False"/>
    <w:docVar w:name="LastEditedVersion" w:val="5"/>
  </w:docVars>
  <w:rsids>
    <w:rsidRoot w:val="00B1127C"/>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6C85"/>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1E89"/>
    <w:rsid w:val="000A2493"/>
    <w:rsid w:val="000A2B8B"/>
    <w:rsid w:val="000A4324"/>
    <w:rsid w:val="000A7474"/>
    <w:rsid w:val="000A7C2C"/>
    <w:rsid w:val="000B0007"/>
    <w:rsid w:val="000B170D"/>
    <w:rsid w:val="000B18A9"/>
    <w:rsid w:val="000B2225"/>
    <w:rsid w:val="000B25A0"/>
    <w:rsid w:val="000B419D"/>
    <w:rsid w:val="000B4365"/>
    <w:rsid w:val="000B772C"/>
    <w:rsid w:val="000C03BF"/>
    <w:rsid w:val="000C11DE"/>
    <w:rsid w:val="000C1FC5"/>
    <w:rsid w:val="000C39E4"/>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B9D"/>
    <w:rsid w:val="00151FAC"/>
    <w:rsid w:val="0015261A"/>
    <w:rsid w:val="00152C55"/>
    <w:rsid w:val="00153323"/>
    <w:rsid w:val="00154EAA"/>
    <w:rsid w:val="00156992"/>
    <w:rsid w:val="00157AB3"/>
    <w:rsid w:val="001607F0"/>
    <w:rsid w:val="001608C4"/>
    <w:rsid w:val="00160A33"/>
    <w:rsid w:val="00161C96"/>
    <w:rsid w:val="00162410"/>
    <w:rsid w:val="00164E7D"/>
    <w:rsid w:val="00165696"/>
    <w:rsid w:val="0016796B"/>
    <w:rsid w:val="001717AD"/>
    <w:rsid w:val="00174C25"/>
    <w:rsid w:val="0017576B"/>
    <w:rsid w:val="00176C2C"/>
    <w:rsid w:val="00176C58"/>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2F7"/>
    <w:rsid w:val="001C5744"/>
    <w:rsid w:val="001C5C5E"/>
    <w:rsid w:val="001C5F65"/>
    <w:rsid w:val="001C67B6"/>
    <w:rsid w:val="001D00DC"/>
    <w:rsid w:val="001D0ECC"/>
    <w:rsid w:val="001D268A"/>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192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76C"/>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5344"/>
    <w:rsid w:val="002C6E11"/>
    <w:rsid w:val="002D357E"/>
    <w:rsid w:val="002D4CD7"/>
    <w:rsid w:val="002D579C"/>
    <w:rsid w:val="002D5B53"/>
    <w:rsid w:val="002D601A"/>
    <w:rsid w:val="002D6107"/>
    <w:rsid w:val="002D7CE6"/>
    <w:rsid w:val="002E069D"/>
    <w:rsid w:val="002E1596"/>
    <w:rsid w:val="002E1C1A"/>
    <w:rsid w:val="002E38B3"/>
    <w:rsid w:val="002E3980"/>
    <w:rsid w:val="002E524C"/>
    <w:rsid w:val="002E6ABC"/>
    <w:rsid w:val="002E7BB5"/>
    <w:rsid w:val="002F1C92"/>
    <w:rsid w:val="002F2990"/>
    <w:rsid w:val="002F42C4"/>
    <w:rsid w:val="002F67D0"/>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2795F"/>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0C"/>
    <w:rsid w:val="003A3D10"/>
    <w:rsid w:val="003A3D7A"/>
    <w:rsid w:val="003A3DEC"/>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6E4"/>
    <w:rsid w:val="003D5CB4"/>
    <w:rsid w:val="003E01A9"/>
    <w:rsid w:val="003E154B"/>
    <w:rsid w:val="003E23C3"/>
    <w:rsid w:val="003E537C"/>
    <w:rsid w:val="003E6233"/>
    <w:rsid w:val="003F04D1"/>
    <w:rsid w:val="003F27CE"/>
    <w:rsid w:val="003F67B2"/>
    <w:rsid w:val="004017A8"/>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1BAD"/>
    <w:rsid w:val="00443D91"/>
    <w:rsid w:val="00444BD7"/>
    <w:rsid w:val="00446BE4"/>
    <w:rsid w:val="0044745A"/>
    <w:rsid w:val="00450181"/>
    <w:rsid w:val="0045042B"/>
    <w:rsid w:val="0045139A"/>
    <w:rsid w:val="00451626"/>
    <w:rsid w:val="00451E56"/>
    <w:rsid w:val="00452ED2"/>
    <w:rsid w:val="00454672"/>
    <w:rsid w:val="0045719E"/>
    <w:rsid w:val="004614B1"/>
    <w:rsid w:val="004615F4"/>
    <w:rsid w:val="0046282B"/>
    <w:rsid w:val="004635B0"/>
    <w:rsid w:val="00464936"/>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475E"/>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80A"/>
    <w:rsid w:val="004F1D60"/>
    <w:rsid w:val="004F4A78"/>
    <w:rsid w:val="004F55B9"/>
    <w:rsid w:val="004F5F21"/>
    <w:rsid w:val="00500F5C"/>
    <w:rsid w:val="00501DF0"/>
    <w:rsid w:val="00501EC4"/>
    <w:rsid w:val="00502291"/>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2E9"/>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3F9C"/>
    <w:rsid w:val="005E4109"/>
    <w:rsid w:val="005E4303"/>
    <w:rsid w:val="005E47C2"/>
    <w:rsid w:val="005E580F"/>
    <w:rsid w:val="005E661D"/>
    <w:rsid w:val="005E67C5"/>
    <w:rsid w:val="005E6DFE"/>
    <w:rsid w:val="005F03E6"/>
    <w:rsid w:val="005F3551"/>
    <w:rsid w:val="005F6687"/>
    <w:rsid w:val="005F732A"/>
    <w:rsid w:val="005F7879"/>
    <w:rsid w:val="00600222"/>
    <w:rsid w:val="00600B4A"/>
    <w:rsid w:val="00601283"/>
    <w:rsid w:val="00601679"/>
    <w:rsid w:val="00604740"/>
    <w:rsid w:val="00611E7C"/>
    <w:rsid w:val="006142E4"/>
    <w:rsid w:val="00614926"/>
    <w:rsid w:val="00615ED9"/>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2A66"/>
    <w:rsid w:val="0076359E"/>
    <w:rsid w:val="0076418E"/>
    <w:rsid w:val="00764AB6"/>
    <w:rsid w:val="007662C3"/>
    <w:rsid w:val="0076653E"/>
    <w:rsid w:val="007672CA"/>
    <w:rsid w:val="00767A93"/>
    <w:rsid w:val="00767BF0"/>
    <w:rsid w:val="00772629"/>
    <w:rsid w:val="007732D9"/>
    <w:rsid w:val="00773ECE"/>
    <w:rsid w:val="00776042"/>
    <w:rsid w:val="0077611D"/>
    <w:rsid w:val="00776889"/>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B7DDC"/>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886"/>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D74B5"/>
    <w:rsid w:val="008E016E"/>
    <w:rsid w:val="008E0873"/>
    <w:rsid w:val="008E19DB"/>
    <w:rsid w:val="008E2A57"/>
    <w:rsid w:val="008E2E42"/>
    <w:rsid w:val="008E3158"/>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0CF9"/>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170"/>
    <w:rsid w:val="00933AA9"/>
    <w:rsid w:val="00935EE7"/>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2A0A"/>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9F7099"/>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3516"/>
    <w:rsid w:val="00A34A3E"/>
    <w:rsid w:val="00A361B4"/>
    <w:rsid w:val="00A36852"/>
    <w:rsid w:val="00A37904"/>
    <w:rsid w:val="00A408A1"/>
    <w:rsid w:val="00A40CB5"/>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5E2E"/>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127C"/>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4D59"/>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581B"/>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417"/>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A3F"/>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6495"/>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5100"/>
    <w:rsid w:val="00E46C37"/>
    <w:rsid w:val="00E51080"/>
    <w:rsid w:val="00E530D4"/>
    <w:rsid w:val="00E56D5A"/>
    <w:rsid w:val="00E57244"/>
    <w:rsid w:val="00E61BE5"/>
    <w:rsid w:val="00E63809"/>
    <w:rsid w:val="00E63F80"/>
    <w:rsid w:val="00E669DF"/>
    <w:rsid w:val="00E7022E"/>
    <w:rsid w:val="00E70369"/>
    <w:rsid w:val="00E72360"/>
    <w:rsid w:val="00E72384"/>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3780"/>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4B5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95F"/>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rsid w:val="00B1127C"/>
    <w:pPr>
      <w:spacing w:after="240"/>
      <w:ind w:left="720" w:firstLine="0"/>
    </w:pPr>
  </w:style>
  <w:style w:type="paragraph" w:customStyle="1" w:styleId="APAHeadingCenterIncludedInTOC">
    <w:name w:val="APA Heading Center Included In TOC"/>
    <w:basedOn w:val="APA"/>
    <w:next w:val="APA"/>
    <w:rsid w:val="00B1127C"/>
    <w:pPr>
      <w:ind w:firstLine="0"/>
      <w:jc w:val="center"/>
      <w:outlineLvl w:val="0"/>
    </w:pPr>
  </w:style>
  <w:style w:type="paragraph" w:customStyle="1" w:styleId="APAOutlineLevel1">
    <w:name w:val="APA Outline Level 1"/>
    <w:basedOn w:val="APA"/>
    <w:next w:val="APA"/>
    <w:rsid w:val="00B1127C"/>
    <w:pPr>
      <w:spacing w:after="240"/>
      <w:ind w:firstLine="0"/>
    </w:pPr>
  </w:style>
  <w:style w:type="paragraph" w:customStyle="1" w:styleId="APAOutlineLevel2">
    <w:name w:val="APA Outline Level 2"/>
    <w:basedOn w:val="APA"/>
    <w:next w:val="APA"/>
    <w:rsid w:val="00B1127C"/>
    <w:pPr>
      <w:spacing w:after="240"/>
      <w:ind w:left="720" w:firstLine="0"/>
    </w:pPr>
  </w:style>
  <w:style w:type="paragraph" w:customStyle="1" w:styleId="APAOutlineLevel3">
    <w:name w:val="APA Outline Level 3"/>
    <w:basedOn w:val="APA"/>
    <w:next w:val="APA"/>
    <w:rsid w:val="00B1127C"/>
    <w:pPr>
      <w:spacing w:after="240"/>
      <w:ind w:left="1440" w:firstLine="0"/>
    </w:pPr>
  </w:style>
  <w:style w:type="paragraph" w:customStyle="1" w:styleId="APAOutlineLevel4">
    <w:name w:val="APA Outline Level 4"/>
    <w:basedOn w:val="APA"/>
    <w:next w:val="APA"/>
    <w:rsid w:val="00B1127C"/>
    <w:pPr>
      <w:spacing w:after="240"/>
      <w:ind w:left="2160" w:firstLine="0"/>
    </w:pPr>
  </w:style>
  <w:style w:type="paragraph" w:customStyle="1" w:styleId="APAOutlineLevel5">
    <w:name w:val="APA Outline Level 5"/>
    <w:basedOn w:val="APA"/>
    <w:next w:val="APA"/>
    <w:rsid w:val="00B1127C"/>
    <w:pPr>
      <w:spacing w:after="240"/>
      <w:ind w:left="2880" w:firstLine="0"/>
    </w:pPr>
  </w:style>
  <w:style w:type="paragraph" w:customStyle="1" w:styleId="APAOutlineLevel6">
    <w:name w:val="APA Outline Level 6"/>
    <w:basedOn w:val="APA"/>
    <w:next w:val="APA"/>
    <w:rsid w:val="00B1127C"/>
    <w:pPr>
      <w:spacing w:after="240"/>
      <w:ind w:left="3600" w:firstLine="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95F"/>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rsid w:val="00B1127C"/>
    <w:pPr>
      <w:spacing w:after="240"/>
      <w:ind w:left="720" w:firstLine="0"/>
    </w:pPr>
  </w:style>
  <w:style w:type="paragraph" w:customStyle="1" w:styleId="APAHeadingCenterIncludedInTOC">
    <w:name w:val="APA Heading Center Included In TOC"/>
    <w:basedOn w:val="APA"/>
    <w:next w:val="APA"/>
    <w:rsid w:val="00B1127C"/>
    <w:pPr>
      <w:ind w:firstLine="0"/>
      <w:jc w:val="center"/>
      <w:outlineLvl w:val="0"/>
    </w:pPr>
  </w:style>
  <w:style w:type="paragraph" w:customStyle="1" w:styleId="APAOutlineLevel1">
    <w:name w:val="APA Outline Level 1"/>
    <w:basedOn w:val="APA"/>
    <w:next w:val="APA"/>
    <w:rsid w:val="00B1127C"/>
    <w:pPr>
      <w:spacing w:after="240"/>
      <w:ind w:firstLine="0"/>
    </w:pPr>
  </w:style>
  <w:style w:type="paragraph" w:customStyle="1" w:styleId="APAOutlineLevel2">
    <w:name w:val="APA Outline Level 2"/>
    <w:basedOn w:val="APA"/>
    <w:next w:val="APA"/>
    <w:rsid w:val="00B1127C"/>
    <w:pPr>
      <w:spacing w:after="240"/>
      <w:ind w:left="720" w:firstLine="0"/>
    </w:pPr>
  </w:style>
  <w:style w:type="paragraph" w:customStyle="1" w:styleId="APAOutlineLevel3">
    <w:name w:val="APA Outline Level 3"/>
    <w:basedOn w:val="APA"/>
    <w:next w:val="APA"/>
    <w:rsid w:val="00B1127C"/>
    <w:pPr>
      <w:spacing w:after="240"/>
      <w:ind w:left="1440" w:firstLine="0"/>
    </w:pPr>
  </w:style>
  <w:style w:type="paragraph" w:customStyle="1" w:styleId="APAOutlineLevel4">
    <w:name w:val="APA Outline Level 4"/>
    <w:basedOn w:val="APA"/>
    <w:next w:val="APA"/>
    <w:rsid w:val="00B1127C"/>
    <w:pPr>
      <w:spacing w:after="240"/>
      <w:ind w:left="2160" w:firstLine="0"/>
    </w:pPr>
  </w:style>
  <w:style w:type="paragraph" w:customStyle="1" w:styleId="APAOutlineLevel5">
    <w:name w:val="APA Outline Level 5"/>
    <w:basedOn w:val="APA"/>
    <w:next w:val="APA"/>
    <w:rsid w:val="00B1127C"/>
    <w:pPr>
      <w:spacing w:after="240"/>
      <w:ind w:left="2880" w:firstLine="0"/>
    </w:pPr>
  </w:style>
  <w:style w:type="paragraph" w:customStyle="1" w:styleId="APAOutlineLevel6">
    <w:name w:val="APA Outline Level 6"/>
    <w:basedOn w:val="APA"/>
    <w:next w:val="APA"/>
    <w:rsid w:val="00B1127C"/>
    <w:pPr>
      <w:spacing w:after="240"/>
      <w:ind w:left="360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1386">
      <w:bodyDiv w:val="1"/>
      <w:marLeft w:val="0"/>
      <w:marRight w:val="0"/>
      <w:marTop w:val="0"/>
      <w:marBottom w:val="0"/>
      <w:divBdr>
        <w:top w:val="none" w:sz="0" w:space="0" w:color="auto"/>
        <w:left w:val="none" w:sz="0" w:space="0" w:color="auto"/>
        <w:bottom w:val="none" w:sz="0" w:space="0" w:color="auto"/>
        <w:right w:val="none" w:sz="0" w:space="0" w:color="auto"/>
      </w:divBdr>
    </w:div>
    <w:div w:id="694579924">
      <w:bodyDiv w:val="1"/>
      <w:marLeft w:val="0"/>
      <w:marRight w:val="0"/>
      <w:marTop w:val="0"/>
      <w:marBottom w:val="0"/>
      <w:divBdr>
        <w:top w:val="none" w:sz="0" w:space="0" w:color="auto"/>
        <w:left w:val="none" w:sz="0" w:space="0" w:color="auto"/>
        <w:bottom w:val="none" w:sz="0" w:space="0" w:color="auto"/>
        <w:right w:val="none" w:sz="0" w:space="0" w:color="auto"/>
      </w:divBdr>
    </w:div>
    <w:div w:id="794760740">
      <w:bodyDiv w:val="1"/>
      <w:marLeft w:val="0"/>
      <w:marRight w:val="0"/>
      <w:marTop w:val="0"/>
      <w:marBottom w:val="0"/>
      <w:divBdr>
        <w:top w:val="none" w:sz="0" w:space="0" w:color="auto"/>
        <w:left w:val="none" w:sz="0" w:space="0" w:color="auto"/>
        <w:bottom w:val="none" w:sz="0" w:space="0" w:color="auto"/>
        <w:right w:val="none" w:sz="0" w:space="0" w:color="auto"/>
      </w:divBdr>
    </w:div>
    <w:div w:id="801264069">
      <w:bodyDiv w:val="1"/>
      <w:marLeft w:val="0"/>
      <w:marRight w:val="0"/>
      <w:marTop w:val="0"/>
      <w:marBottom w:val="0"/>
      <w:divBdr>
        <w:top w:val="none" w:sz="0" w:space="0" w:color="auto"/>
        <w:left w:val="none" w:sz="0" w:space="0" w:color="auto"/>
        <w:bottom w:val="none" w:sz="0" w:space="0" w:color="auto"/>
        <w:right w:val="none" w:sz="0" w:space="0" w:color="auto"/>
      </w:divBdr>
    </w:div>
    <w:div w:id="842862388">
      <w:bodyDiv w:val="1"/>
      <w:marLeft w:val="0"/>
      <w:marRight w:val="0"/>
      <w:marTop w:val="0"/>
      <w:marBottom w:val="0"/>
      <w:divBdr>
        <w:top w:val="none" w:sz="0" w:space="0" w:color="auto"/>
        <w:left w:val="none" w:sz="0" w:space="0" w:color="auto"/>
        <w:bottom w:val="none" w:sz="0" w:space="0" w:color="auto"/>
        <w:right w:val="none" w:sz="0" w:space="0" w:color="auto"/>
      </w:divBdr>
    </w:div>
    <w:div w:id="1016808835">
      <w:bodyDiv w:val="1"/>
      <w:marLeft w:val="0"/>
      <w:marRight w:val="0"/>
      <w:marTop w:val="0"/>
      <w:marBottom w:val="0"/>
      <w:divBdr>
        <w:top w:val="none" w:sz="0" w:space="0" w:color="auto"/>
        <w:left w:val="none" w:sz="0" w:space="0" w:color="auto"/>
        <w:bottom w:val="none" w:sz="0" w:space="0" w:color="auto"/>
        <w:right w:val="none" w:sz="0" w:space="0" w:color="auto"/>
      </w:divBdr>
    </w:div>
    <w:div w:id="1198617068">
      <w:bodyDiv w:val="1"/>
      <w:marLeft w:val="0"/>
      <w:marRight w:val="0"/>
      <w:marTop w:val="0"/>
      <w:marBottom w:val="0"/>
      <w:divBdr>
        <w:top w:val="none" w:sz="0" w:space="0" w:color="auto"/>
        <w:left w:val="none" w:sz="0" w:space="0" w:color="auto"/>
        <w:bottom w:val="none" w:sz="0" w:space="0" w:color="auto"/>
        <w:right w:val="none" w:sz="0" w:space="0" w:color="auto"/>
      </w:divBdr>
    </w:div>
    <w:div w:id="1249844736">
      <w:bodyDiv w:val="1"/>
      <w:marLeft w:val="0"/>
      <w:marRight w:val="0"/>
      <w:marTop w:val="0"/>
      <w:marBottom w:val="0"/>
      <w:divBdr>
        <w:top w:val="none" w:sz="0" w:space="0" w:color="auto"/>
        <w:left w:val="none" w:sz="0" w:space="0" w:color="auto"/>
        <w:bottom w:val="none" w:sz="0" w:space="0" w:color="auto"/>
        <w:right w:val="none" w:sz="0" w:space="0" w:color="auto"/>
      </w:divBdr>
    </w:div>
    <w:div w:id="1429039790">
      <w:bodyDiv w:val="1"/>
      <w:marLeft w:val="0"/>
      <w:marRight w:val="0"/>
      <w:marTop w:val="0"/>
      <w:marBottom w:val="0"/>
      <w:divBdr>
        <w:top w:val="none" w:sz="0" w:space="0" w:color="auto"/>
        <w:left w:val="none" w:sz="0" w:space="0" w:color="auto"/>
        <w:bottom w:val="none" w:sz="0" w:space="0" w:color="auto"/>
        <w:right w:val="none" w:sz="0" w:space="0" w:color="auto"/>
      </w:divBdr>
    </w:div>
    <w:div w:id="1637102914">
      <w:bodyDiv w:val="1"/>
      <w:marLeft w:val="0"/>
      <w:marRight w:val="0"/>
      <w:marTop w:val="0"/>
      <w:marBottom w:val="0"/>
      <w:divBdr>
        <w:top w:val="none" w:sz="0" w:space="0" w:color="auto"/>
        <w:left w:val="none" w:sz="0" w:space="0" w:color="auto"/>
        <w:bottom w:val="none" w:sz="0" w:space="0" w:color="auto"/>
        <w:right w:val="none" w:sz="0" w:space="0" w:color="auto"/>
      </w:divBdr>
    </w:div>
    <w:div w:id="1657296607">
      <w:bodyDiv w:val="1"/>
      <w:marLeft w:val="0"/>
      <w:marRight w:val="0"/>
      <w:marTop w:val="0"/>
      <w:marBottom w:val="0"/>
      <w:divBdr>
        <w:top w:val="none" w:sz="0" w:space="0" w:color="auto"/>
        <w:left w:val="none" w:sz="0" w:space="0" w:color="auto"/>
        <w:bottom w:val="none" w:sz="0" w:space="0" w:color="auto"/>
        <w:right w:val="none" w:sz="0" w:space="0" w:color="auto"/>
      </w:divBdr>
    </w:div>
    <w:div w:id="1719012839">
      <w:bodyDiv w:val="1"/>
      <w:marLeft w:val="0"/>
      <w:marRight w:val="0"/>
      <w:marTop w:val="0"/>
      <w:marBottom w:val="0"/>
      <w:divBdr>
        <w:top w:val="none" w:sz="0" w:space="0" w:color="auto"/>
        <w:left w:val="none" w:sz="0" w:space="0" w:color="auto"/>
        <w:bottom w:val="none" w:sz="0" w:space="0" w:color="auto"/>
        <w:right w:val="none" w:sz="0" w:space="0" w:color="auto"/>
      </w:divBdr>
    </w:div>
    <w:div w:id="1887525850">
      <w:bodyDiv w:val="1"/>
      <w:marLeft w:val="0"/>
      <w:marRight w:val="0"/>
      <w:marTop w:val="0"/>
      <w:marBottom w:val="0"/>
      <w:divBdr>
        <w:top w:val="none" w:sz="0" w:space="0" w:color="auto"/>
        <w:left w:val="none" w:sz="0" w:space="0" w:color="auto"/>
        <w:bottom w:val="none" w:sz="0" w:space="0" w:color="auto"/>
        <w:right w:val="none" w:sz="0" w:space="0" w:color="auto"/>
      </w:divBdr>
    </w:div>
    <w:div w:id="20328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lexis:Library:Application%20Support:Microsoft:Office:User%20Templates:PERRL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0779E-8D48-8246-BE10-2A35F5C94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PERRLA.dotm</Template>
  <TotalTime>2</TotalTime>
  <Pages>12</Pages>
  <Words>2534</Words>
  <Characters>14449</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PERRLA Version 6 For APA</vt:lpstr>
    </vt:vector>
  </TitlesOfParts>
  <Manager/>
  <Company/>
  <LinksUpToDate>false</LinksUpToDate>
  <CharactersWithSpaces>16950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Greene's Jewelry Wholesale vs. Jennifer Lawson</dc:title>
  <dc:subject>Copyright</dc:subject>
  <dc:creator>Alexis LeBlanc</dc:creator>
  <cp:keywords/>
  <dc:description/>
  <cp:lastModifiedBy>Alexis Leblanc</cp:lastModifiedBy>
  <cp:revision>4</cp:revision>
  <dcterms:created xsi:type="dcterms:W3CDTF">2016-02-14T22:54:00Z</dcterms:created>
  <dcterms:modified xsi:type="dcterms:W3CDTF">2016-02-14T23:00:00Z</dcterms:modified>
  <cp:category/>
</cp:coreProperties>
</file>