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73E" w:rsidRDefault="0019673E">
      <w:pPr>
        <w:pStyle w:val="Title2"/>
      </w:pPr>
      <w:bookmarkStart w:id="0" w:name="_GoBack"/>
      <w:bookmarkEnd w:id="0"/>
    </w:p>
    <w:p w:rsidR="007B706D" w:rsidRDefault="007B706D">
      <w:pPr>
        <w:pStyle w:val="Title2"/>
      </w:pPr>
    </w:p>
    <w:p w:rsidR="007B706D" w:rsidRDefault="007B706D">
      <w:pPr>
        <w:pStyle w:val="Title2"/>
      </w:pPr>
    </w:p>
    <w:p w:rsidR="007B706D" w:rsidRDefault="007B706D">
      <w:pPr>
        <w:pStyle w:val="Title2"/>
      </w:pPr>
    </w:p>
    <w:p w:rsidR="007B706D" w:rsidRDefault="007B706D">
      <w:pPr>
        <w:pStyle w:val="Title2"/>
      </w:pPr>
    </w:p>
    <w:p w:rsidR="007B706D" w:rsidRDefault="007B706D" w:rsidP="007B706D">
      <w:pPr>
        <w:pStyle w:val="Title2"/>
      </w:pPr>
      <w:r>
        <w:t>Novant Health</w:t>
      </w:r>
    </w:p>
    <w:p w:rsidR="007B706D" w:rsidRDefault="007B706D" w:rsidP="007B706D">
      <w:pPr>
        <w:pStyle w:val="Title2"/>
      </w:pPr>
      <w:r>
        <w:t>Daniel Adams</w:t>
      </w:r>
    </w:p>
    <w:p w:rsidR="007B706D" w:rsidRDefault="007B706D" w:rsidP="007B706D">
      <w:pPr>
        <w:pStyle w:val="Title2"/>
      </w:pPr>
      <w:r>
        <w:t>d.adams.2011@mymail.jcsu.edu</w:t>
      </w:r>
    </w:p>
    <w:p w:rsidR="007B706D" w:rsidRDefault="007B706D" w:rsidP="007B706D">
      <w:pPr>
        <w:pStyle w:val="Title2"/>
      </w:pPr>
      <w:r>
        <w:t>Bus455-Sr. Investigative Research Paper</w:t>
      </w:r>
    </w:p>
    <w:p w:rsidR="007B706D" w:rsidRDefault="007B706D" w:rsidP="007B706D">
      <w:pPr>
        <w:pStyle w:val="Title2"/>
      </w:pPr>
      <w:r>
        <w:t xml:space="preserve">Dr. Kimberly </w:t>
      </w:r>
      <w:proofErr w:type="spellStart"/>
      <w:r>
        <w:t>Hunley</w:t>
      </w:r>
      <w:proofErr w:type="spellEnd"/>
    </w:p>
    <w:p w:rsidR="007B706D" w:rsidRDefault="007B706D" w:rsidP="007B706D">
      <w:pPr>
        <w:pStyle w:val="Title2"/>
      </w:pPr>
      <w:r>
        <w:t>October 25, 2015</w:t>
      </w:r>
    </w:p>
    <w:p w:rsidR="0019673E" w:rsidRDefault="0019673E"/>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7B706D" w:rsidRDefault="007B706D"/>
    <w:p w:rsidR="00B811AA" w:rsidRDefault="007B706D" w:rsidP="00B811AA">
      <w:r w:rsidRPr="007B706D">
        <w:lastRenderedPageBreak/>
        <w:t>Novant Health was formed July 1, 1997 by the merger of Carolina Medicorp of Winston-Salem,</w:t>
      </w:r>
      <w:r>
        <w:t xml:space="preserve"> </w:t>
      </w:r>
      <w:r w:rsidRPr="007B706D">
        <w:t>North Carolina and Presbyterian Health Services of Charlotte. North Carolina (Novant Health startup story, 1997). Novant Health is a not-for-profit integrated healthcare system based out of Winston-Salem, North Carolina that’s comprises of 15 medical centers and 1,123 doctors in 343 clinic locations as well as numerous outpatient surgery centers, medical plazas, rehabilitation programs, diagnostic imaging centers and community health outreach programs. Novant Health employs 24,400 employees and physician partners’ care for patients and communities in North Carolina, Virginia, South Carolina and Georgia (Novant Health startup story, 1997).</w:t>
      </w:r>
    </w:p>
    <w:p w:rsidR="004E73B7" w:rsidRDefault="004E73B7" w:rsidP="00B811AA"/>
    <w:p w:rsidR="007B706D" w:rsidRDefault="00B811AA" w:rsidP="001D4F63">
      <w:r w:rsidRPr="00B811AA">
        <w:lastRenderedPageBreak/>
        <w:t>We strive every day to bring our mission, vision and values to life. We demonstrate our commitment to you in a variety of ways.</w:t>
      </w:r>
      <w:r>
        <w:t xml:space="preserve"> </w:t>
      </w:r>
      <w:r w:rsidR="00AD4571">
        <w:t>Novant Health’s Mission:</w:t>
      </w:r>
      <w:r w:rsidR="007B706D">
        <w:t xml:space="preserve"> </w:t>
      </w:r>
      <w:r w:rsidR="007B706D" w:rsidRPr="007B706D">
        <w:t>Novant Health exists to improve the health of our communities, one person at a time</w:t>
      </w:r>
      <w:r>
        <w:t xml:space="preserve"> (Novant Health, 2015, Para.3)</w:t>
      </w:r>
      <w:r w:rsidR="007B706D" w:rsidRPr="007B706D">
        <w:t>.</w:t>
      </w:r>
      <w:r w:rsidR="007B706D">
        <w:t xml:space="preserve"> </w:t>
      </w:r>
      <w:r>
        <w:t>The Vision statement…</w:t>
      </w:r>
      <w:r w:rsidRPr="00B811AA">
        <w:t>We, the Novant Health team, will deliver the most remarkable patient experience, in every dimension, every time. Learn more about how we are making healthcare remarkable</w:t>
      </w:r>
      <w:r>
        <w:t xml:space="preserve"> (Novant Health, 2015, Para.5).</w:t>
      </w:r>
      <w:r w:rsidR="001D4F63">
        <w:t xml:space="preserve"> Values Compassion…We treat our customers and their families, staff and other healthcare providers as family members with kindness, patience, empathy and respect (Novant Health, 2015, Para.7).</w:t>
      </w:r>
    </w:p>
    <w:p w:rsidR="004E73B7" w:rsidRDefault="004E73B7" w:rsidP="001D4F63"/>
    <w:p w:rsidR="00935D4F" w:rsidRDefault="00935D4F" w:rsidP="001D4F63">
      <w:r w:rsidRPr="00935D4F">
        <w:lastRenderedPageBreak/>
        <w:t>The main product t</w:t>
      </w:r>
      <w:r>
        <w:t>hat Novant Health offers is a wide range of</w:t>
      </w:r>
      <w:r w:rsidR="00E10CF4">
        <w:t xml:space="preserve"> </w:t>
      </w:r>
      <w:r w:rsidR="00AD4571">
        <w:t>medical services</w:t>
      </w:r>
      <w:r w:rsidR="00E10CF4">
        <w:t xml:space="preserve">. They range from several Novant Health </w:t>
      </w:r>
      <w:r w:rsidRPr="00935D4F">
        <w:t>physician practices,</w:t>
      </w:r>
      <w:r w:rsidR="00E10CF4">
        <w:t xml:space="preserve"> Inpatient, outpatient centers,</w:t>
      </w:r>
      <w:r w:rsidRPr="00935D4F">
        <w:t xml:space="preserve"> each element committed to delivering a remarkable healthcare experience for you and your family. With world-class technology, personal connections, and care that’s easier to access and understand, Novant Health is with you every step of the way on your journey to health and wellness.</w:t>
      </w:r>
    </w:p>
    <w:p w:rsidR="004E73B7" w:rsidRDefault="004E73B7" w:rsidP="001D4F63"/>
    <w:p w:rsidR="00E5554F" w:rsidRDefault="0008721C" w:rsidP="00E5554F">
      <w:r>
        <w:t>Novant Health has</w:t>
      </w:r>
      <w:r w:rsidR="00E5554F">
        <w:t xml:space="preserve"> three major competitors</w:t>
      </w:r>
      <w:r>
        <w:t>:</w:t>
      </w:r>
      <w:r w:rsidR="00E5554F">
        <w:t xml:space="preserve"> Greenville Health System, Wake Forest</w:t>
      </w:r>
    </w:p>
    <w:p w:rsidR="00E5554F" w:rsidRDefault="00E5554F" w:rsidP="00E5554F">
      <w:pPr>
        <w:ind w:firstLine="0"/>
      </w:pPr>
      <w:r>
        <w:t xml:space="preserve">Baptist Medical </w:t>
      </w:r>
      <w:r w:rsidR="00462970">
        <w:t>Center and Carolinas Healthcare a</w:t>
      </w:r>
      <w:r>
        <w:t>ll t</w:t>
      </w:r>
      <w:r w:rsidR="0002291A">
        <w:t xml:space="preserve">hree these healthcare </w:t>
      </w:r>
      <w:r w:rsidR="00462970">
        <w:t>systems</w:t>
      </w:r>
      <w:r>
        <w:t xml:space="preserve"> are major Competitors with each other. It’s the </w:t>
      </w:r>
      <w:r>
        <w:lastRenderedPageBreak/>
        <w:t>simple fact that they all offer</w:t>
      </w:r>
      <w:r w:rsidR="0002291A" w:rsidRPr="0002291A">
        <w:t xml:space="preserve"> a variety of basic and specialty healthcare services to their surrounding areas.</w:t>
      </w:r>
      <w:r>
        <w:t xml:space="preserve"> </w:t>
      </w:r>
      <w:r w:rsidR="00462970">
        <w:t>Healthcare</w:t>
      </w:r>
      <w:r>
        <w:t xml:space="preserve"> service to the</w:t>
      </w:r>
    </w:p>
    <w:p w:rsidR="004E73B7" w:rsidRDefault="00E5554F" w:rsidP="0002291A">
      <w:pPr>
        <w:ind w:firstLine="0"/>
      </w:pPr>
      <w:r>
        <w:t xml:space="preserve">surrounding areas. </w:t>
      </w:r>
      <w:r w:rsidR="0002291A">
        <w:t>A The problem arrives significant challenge presents itself whenever you have your direct competitors within close proximity in the same region and they all offer the exact same type of services. Those living in the regions being served by these healthcare systems have options to choose from when considering their healthcare needs while the healthcare systems struggle to carve their niche and stand out amongst their competitors.</w:t>
      </w:r>
    </w:p>
    <w:p w:rsidR="0002291A" w:rsidRDefault="0002291A" w:rsidP="0002291A">
      <w:pPr>
        <w:ind w:firstLine="0"/>
      </w:pPr>
    </w:p>
    <w:p w:rsidR="007F09DB" w:rsidRDefault="0088103E" w:rsidP="007F09DB">
      <w:r>
        <w:t xml:space="preserve">The problem for Novant is the simple </w:t>
      </w:r>
      <w:r w:rsidR="00462970">
        <w:t>facts that they are located in the same area were</w:t>
      </w:r>
      <w:r>
        <w:t xml:space="preserve"> several of their competitor offer health </w:t>
      </w:r>
      <w:r>
        <w:lastRenderedPageBreak/>
        <w:t>care service</w:t>
      </w:r>
      <w:r w:rsidR="007E5658">
        <w:t xml:space="preserve"> to their patient</w:t>
      </w:r>
      <w:r>
        <w:t xml:space="preserve">. They all </w:t>
      </w:r>
      <w:r w:rsidR="007E5658">
        <w:t xml:space="preserve">also </w:t>
      </w:r>
      <w:r>
        <w:t xml:space="preserve">offer the </w:t>
      </w:r>
      <w:r w:rsidR="007E5658">
        <w:t xml:space="preserve">exact </w:t>
      </w:r>
      <w:r>
        <w:t>same type of technology to sever their</w:t>
      </w:r>
      <w:r w:rsidR="007E5658">
        <w:t xml:space="preserve"> patients who visit </w:t>
      </w:r>
      <w:r w:rsidR="00234F74">
        <w:t>their</w:t>
      </w:r>
      <w:r w:rsidR="007E5658">
        <w:t xml:space="preserve"> facilities. Which makes it hard for Novant to separate them self from there competitor in the health care service. </w:t>
      </w:r>
      <w:r w:rsidR="00462970">
        <w:t>This allows</w:t>
      </w:r>
      <w:r w:rsidR="007E5658">
        <w:t xml:space="preserve"> patients the opportunity to shop around for more competitive health care rates. </w:t>
      </w:r>
    </w:p>
    <w:p w:rsidR="00E5554F" w:rsidRDefault="00E5554F" w:rsidP="001D4F63"/>
    <w:p w:rsidR="00837366" w:rsidRDefault="00E5554F" w:rsidP="00E5554F">
      <w:r w:rsidRPr="00E5554F">
        <w:t>Vividly picture your target audience as a person, someone who is or could be real to you. For any healthcare organization and practices of all types hospitals, manufacturers, physicians and surgeons, dentists, pharmaceuticals or groups the more specifically you define the target audience, the greater your ability to inspire a posi</w:t>
      </w:r>
      <w:r>
        <w:t xml:space="preserve">tive response (Stewart Gandolf, </w:t>
      </w:r>
      <w:r w:rsidR="004E73B7">
        <w:t>(</w:t>
      </w:r>
      <w:r w:rsidRPr="00E5554F">
        <w:t>2010).</w:t>
      </w:r>
      <w:r w:rsidR="004E73B7">
        <w:t>).</w:t>
      </w:r>
    </w:p>
    <w:p w:rsidR="00C86352" w:rsidRDefault="00C86352" w:rsidP="00E5554F"/>
    <w:p w:rsidR="00C86352" w:rsidRDefault="00C86352" w:rsidP="00E5554F">
      <w:r w:rsidRPr="00C86352">
        <w:lastRenderedPageBreak/>
        <w:t xml:space="preserve">The major competitors’ target market is the same as Novant Health’s target market which, is to offer affordable healthcare throughout the region, so patients are inclined to visit their local medical facility for medical treatments. Within the Charlotte market Novant competitors have been able to purchase land and property to establish their brand of healthcare service. One of the things that I noticed about the competitors is that they are </w:t>
      </w:r>
      <w:r w:rsidR="00C17E9B" w:rsidRPr="00C86352">
        <w:t>providing</w:t>
      </w:r>
      <w:r w:rsidRPr="00C86352">
        <w:t xml:space="preserve"> level one medical service, means that meaning they can handle a wide range of emergency injuries (example: train derailment, major chemical spills, bomb threats, and fatal shooting). Novant may be better known for their ability to allow patients to review personal medical records, schedule appointments, and make payments </w:t>
      </w:r>
      <w:r w:rsidRPr="00C86352">
        <w:lastRenderedPageBreak/>
        <w:t>online.  From a personal standpoint I could see an international diversity within the medical staff at both Carolina Medical Center and Novant Health.</w:t>
      </w:r>
    </w:p>
    <w:p w:rsidR="007F09DB" w:rsidRDefault="007F09DB" w:rsidP="00E5554F"/>
    <w:p w:rsidR="00A42A7F" w:rsidRDefault="00A42A7F" w:rsidP="002372FB">
      <w:r>
        <w:t xml:space="preserve">When examining the potential for a new business or product, a SWOT analysis can help determine the likely risks and rewards. SWOT, which stands for Strengths, Weaknesses, Opportunities and Threats, is an analytical framework that can help your company face its greatest challenges and find its most promising new markets (Goodrich, R 2015 ). </w:t>
      </w:r>
    </w:p>
    <w:p w:rsidR="004E73B7" w:rsidRDefault="004E73B7" w:rsidP="002372FB"/>
    <w:p w:rsidR="007F09DB" w:rsidRDefault="00A42A7F" w:rsidP="00A42A7F">
      <w:r>
        <w:t xml:space="preserve">A business SWOT Analysis is a great framework for new and old business to maximize their full business potentials. All new </w:t>
      </w:r>
      <w:r>
        <w:lastRenderedPageBreak/>
        <w:t xml:space="preserve">business </w:t>
      </w:r>
      <w:r w:rsidR="00C17E9B">
        <w:t>owners</w:t>
      </w:r>
      <w:r>
        <w:t xml:space="preserve"> should want to do a business analysis on their new business adventure. This will allow them a great chance to see their business Strengths, weakness, Opportunities and Threat with the potential to grow.</w:t>
      </w:r>
    </w:p>
    <w:p w:rsidR="00A42A7F" w:rsidRDefault="00A42A7F" w:rsidP="00A42A7F">
      <w:r>
        <w:rPr>
          <w:noProof/>
          <w:lang w:eastAsia="en-US"/>
        </w:rPr>
        <w:drawing>
          <wp:inline distT="0" distB="0" distL="0" distR="0" wp14:anchorId="5C27CD44" wp14:editId="7DFA7E38">
            <wp:extent cx="6342278" cy="442356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8309" cy="4448694"/>
                    </a:xfrm>
                    <a:prstGeom prst="rect">
                      <a:avLst/>
                    </a:prstGeom>
                    <a:noFill/>
                  </pic:spPr>
                </pic:pic>
              </a:graphicData>
            </a:graphic>
          </wp:inline>
        </w:drawing>
      </w:r>
    </w:p>
    <w:p w:rsidR="00B73EDB" w:rsidRDefault="00B73EDB" w:rsidP="00A42A7F">
      <w:r w:rsidRPr="00B73EDB">
        <w:lastRenderedPageBreak/>
        <w:t>Health systems around the world face the same fundamental challenge: how to deliver broad access to health services while improving quality of care and controlling costs. Greater competition has often been proposed as a solution that elegantly addresses each element of that challenge.</w:t>
      </w:r>
      <w:r>
        <w:t xml:space="preserve"> (Insight &amp; Publication. (</w:t>
      </w:r>
      <w:r w:rsidR="007C411E">
        <w:t>2010)</w:t>
      </w:r>
      <w:r w:rsidR="00346C7A">
        <w:t>, Para.1</w:t>
      </w:r>
      <w:r>
        <w:t>)</w:t>
      </w:r>
      <w:r w:rsidR="00304824">
        <w:t>.</w:t>
      </w:r>
    </w:p>
    <w:p w:rsidR="00304824" w:rsidRDefault="00304824" w:rsidP="00A42A7F"/>
    <w:p w:rsidR="00304824" w:rsidRDefault="00304824" w:rsidP="00A42A7F">
      <w:r w:rsidRPr="00304824">
        <w:t>In a normal market, competition drives relentless improvements in quality and cost. Rapid innovation leads to rapid diffusion of new technologies and better ways of doing things. Excellent competitors prosper and grow, while weaker rivals are restructured or go out of business. Quality-adjusted prices fall, value improves, and the market expands to meet the needs of more consumers</w:t>
      </w:r>
      <w:r w:rsidR="007C411E" w:rsidRPr="00304824">
        <w:t>.</w:t>
      </w:r>
      <w:r w:rsidR="007C411E">
        <w:t xml:space="preserve"> (</w:t>
      </w:r>
      <w:r>
        <w:t xml:space="preserve">Insight &amp; </w:t>
      </w:r>
      <w:r w:rsidR="007C411E">
        <w:t>Publication. (</w:t>
      </w:r>
      <w:r>
        <w:t>20</w:t>
      </w:r>
      <w:r w:rsidR="007C411E">
        <w:t>10), Para.3</w:t>
      </w:r>
      <w:r>
        <w:t>).</w:t>
      </w:r>
    </w:p>
    <w:p w:rsidR="00304824" w:rsidRDefault="00304824" w:rsidP="00A42A7F"/>
    <w:p w:rsidR="00B73EDB" w:rsidRDefault="00B73EDB" w:rsidP="00A42A7F"/>
    <w:p w:rsidR="00673DDA" w:rsidRDefault="0076625E" w:rsidP="00A42A7F">
      <w:r>
        <w:t xml:space="preserve">Novant Health major competitors’ target markets </w:t>
      </w:r>
      <w:r w:rsidRPr="0076625E">
        <w:t>suggests that competitive markets in health care can offer patients greater quality, more options, and lower costs. The Federal Employees Health Benefits Program and Medicare Part D serve as two illustrative examples of competition in health care today. Proper reforms to add further competition to the health care industry would be quite significant and would further America’s position as the world’s leader in health care for years to come</w:t>
      </w:r>
      <w:r w:rsidR="00346C7A">
        <w:t xml:space="preserve"> (Dayaratne, K</w:t>
      </w:r>
      <w:r>
        <w:t xml:space="preserve"> (2013).)</w:t>
      </w:r>
      <w:r w:rsidRPr="0076625E">
        <w:t>.</w:t>
      </w:r>
    </w:p>
    <w:p w:rsidR="004E73B7" w:rsidRDefault="004E73B7" w:rsidP="00A42A7F"/>
    <w:p w:rsidR="00C873A3" w:rsidRDefault="00F11945" w:rsidP="00F11945">
      <w:pPr>
        <w:ind w:left="720"/>
      </w:pPr>
      <w:r>
        <w:lastRenderedPageBreak/>
        <w:t xml:space="preserve">Novant Health target </w:t>
      </w:r>
      <w:r w:rsidR="00C17E9B">
        <w:t>markets are</w:t>
      </w:r>
      <w:r>
        <w:t xml:space="preserve"> </w:t>
      </w:r>
      <w:r w:rsidR="00C17E9B">
        <w:t>those individual or family members who are</w:t>
      </w:r>
      <w:r>
        <w:t xml:space="preserve"> seeking out medical attention for their illness. In the healthcare field there is no limitation on age, gender and religion preference to receive medical treatment at Novant Health.  Treatment range from Pediatric care, Rehabilitation centers, Neurological centers and Retirement homes which covers a wide range of individual whom may need some form of medical service.</w:t>
      </w:r>
    </w:p>
    <w:p w:rsidR="004E73B7" w:rsidRDefault="004E73B7" w:rsidP="00F11945">
      <w:pPr>
        <w:ind w:left="720"/>
      </w:pPr>
    </w:p>
    <w:p w:rsidR="006C5F1A" w:rsidRDefault="006C5F1A" w:rsidP="00F11945">
      <w:pPr>
        <w:ind w:left="720"/>
      </w:pPr>
    </w:p>
    <w:p w:rsidR="00FD7689" w:rsidRDefault="00FD7689" w:rsidP="00F11945">
      <w:pPr>
        <w:ind w:left="720"/>
      </w:pPr>
      <w:r>
        <w:t xml:space="preserve">Carolina Medical Center is one of Novant Health major competitor which is a trauma one facility.  </w:t>
      </w:r>
      <w:r w:rsidR="0048570D" w:rsidRPr="0048570D">
        <w:t xml:space="preserve">Facilities are designated/verified as Adult and/or Pediatric Trauma Centers.  It </w:t>
      </w:r>
      <w:r w:rsidR="0048570D" w:rsidRPr="0048570D">
        <w:lastRenderedPageBreak/>
        <w:t>is not uncommon for facilities to have different designations for each group (i.e. a Trauma Center may be a Level I Adult facility and also a Level II Pediatric Facility)</w:t>
      </w:r>
      <w:r w:rsidR="0048570D">
        <w:t xml:space="preserve"> (</w:t>
      </w:r>
      <w:r w:rsidR="0048570D" w:rsidRPr="0048570D">
        <w:t>American Trauma Society</w:t>
      </w:r>
      <w:r w:rsidR="0048570D">
        <w:t>)</w:t>
      </w:r>
      <w:r w:rsidR="0048570D" w:rsidRPr="0048570D">
        <w:t>.</w:t>
      </w:r>
    </w:p>
    <w:p w:rsidR="004E73B7" w:rsidRDefault="004E73B7" w:rsidP="00F11945">
      <w:pPr>
        <w:ind w:left="720"/>
      </w:pPr>
    </w:p>
    <w:p w:rsidR="0048570D" w:rsidRDefault="0048570D" w:rsidP="007D19F5">
      <w:r>
        <w:t>One of the thing that Novant Health does better than there major competitors is that we can offer charity assistance to our patients at 100% fo</w:t>
      </w:r>
      <w:r w:rsidR="0062399C">
        <w:t xml:space="preserve">r those who may qualify. </w:t>
      </w:r>
      <w:r w:rsidR="0062399C" w:rsidRPr="0062399C">
        <w:t>A nonprofit hospital means the facility does not pay either state or local property taxes or federal income taxes because it is considered a charity, and proves certain community benefits in accord with state and federal guidelines</w:t>
      </w:r>
      <w:r w:rsidR="003A2E4B">
        <w:t xml:space="preserve"> </w:t>
      </w:r>
      <w:r w:rsidR="0062399C">
        <w:t>(Medicare Newsgroup (2015).)</w:t>
      </w:r>
      <w:r w:rsidR="0062399C" w:rsidRPr="0062399C">
        <w:t>.</w:t>
      </w:r>
      <w:r>
        <w:t xml:space="preserve"> </w:t>
      </w:r>
    </w:p>
    <w:p w:rsidR="004E73B7" w:rsidRDefault="004E73B7" w:rsidP="00F11945">
      <w:pPr>
        <w:ind w:left="720"/>
      </w:pPr>
    </w:p>
    <w:p w:rsidR="004E73B7" w:rsidRDefault="00673DDA" w:rsidP="004E73B7">
      <w:pPr>
        <w:ind w:left="720"/>
      </w:pPr>
      <w:r w:rsidRPr="00673DDA">
        <w:lastRenderedPageBreak/>
        <w:t>To be able to offer outstanding healthcare qualit</w:t>
      </w:r>
      <w:r>
        <w:t xml:space="preserve">y Novant will need to keep </w:t>
      </w:r>
      <w:r w:rsidRPr="00673DDA">
        <w:t>recruit and retain outstanding medical staff within our excellent hospital facilities. At Novant health</w:t>
      </w:r>
      <w:r>
        <w:t xml:space="preserve"> </w:t>
      </w:r>
      <w:r w:rsidRPr="00673DDA">
        <w:t>continue to struggle with the lack of a Primary Care Netw</w:t>
      </w:r>
      <w:r>
        <w:t>ork and understaffed facilities</w:t>
      </w:r>
      <w:r w:rsidRPr="00673DDA">
        <w:t xml:space="preserve">. </w:t>
      </w:r>
      <w:r w:rsidR="00510B50" w:rsidRPr="00510B50">
        <w:t>There are several opportunities for growth in the community Novant serves.</w:t>
      </w:r>
    </w:p>
    <w:p w:rsidR="006C5F1A" w:rsidRDefault="006C5F1A" w:rsidP="004E73B7">
      <w:pPr>
        <w:ind w:left="720"/>
      </w:pPr>
    </w:p>
    <w:p w:rsidR="006C5F1A" w:rsidRDefault="006C5F1A" w:rsidP="004E73B7">
      <w:pPr>
        <w:ind w:left="720"/>
      </w:pPr>
    </w:p>
    <w:p w:rsidR="007D19F5" w:rsidRDefault="007D19F5" w:rsidP="00C44C7F">
      <w:pPr>
        <w:ind w:left="720"/>
      </w:pPr>
    </w:p>
    <w:p w:rsidR="007D19F5" w:rsidRDefault="007D19F5" w:rsidP="00C44C7F">
      <w:pPr>
        <w:ind w:left="720"/>
      </w:pPr>
    </w:p>
    <w:p w:rsidR="007D19F5" w:rsidRDefault="007D19F5" w:rsidP="00C44C7F">
      <w:pPr>
        <w:ind w:left="720"/>
      </w:pPr>
    </w:p>
    <w:p w:rsidR="007D19F5" w:rsidRDefault="007D19F5" w:rsidP="00C44C7F">
      <w:pPr>
        <w:ind w:left="720"/>
      </w:pPr>
    </w:p>
    <w:p w:rsidR="00C44C7F" w:rsidRDefault="00C44C7F" w:rsidP="00C44C7F">
      <w:pPr>
        <w:ind w:left="720"/>
      </w:pPr>
      <w:r>
        <w:lastRenderedPageBreak/>
        <w:t xml:space="preserve"> When using the EFE matrix we identify the key external opportunities and threats that are affecting or might affect a company. Where do we get these factors from? Simply by analyzing the external environment of a company.</w:t>
      </w:r>
    </w:p>
    <w:p w:rsidR="00C44C7F" w:rsidRDefault="00C44C7F" w:rsidP="00C44C7F">
      <w:pPr>
        <w:ind w:left="720"/>
      </w:pPr>
      <w:r>
        <w:t xml:space="preserve"> </w:t>
      </w:r>
    </w:p>
    <w:p w:rsidR="006C5F1A" w:rsidRDefault="00C44C7F" w:rsidP="00F27EB1">
      <w:pPr>
        <w:ind w:left="720"/>
      </w:pPr>
      <w:r>
        <w:t xml:space="preserve">IFE Matrix force Strengths and weaknesses are used as the key internal factors in the evaluation. When looking for the strengths, ask what do you do better or have more valuable than your competitors have? In case of the weaknesses, ask which areas of your company you could improve and at least </w:t>
      </w:r>
      <w:r w:rsidR="00F27EB1">
        <w:t>catch up with your competitors? The</w:t>
      </w:r>
      <w:r>
        <w:t xml:space="preserve"> general rule is to identify 10-20 key external factors and additional 10-20 key </w:t>
      </w:r>
      <w:r>
        <w:lastRenderedPageBreak/>
        <w:t>internal factors, but you should identify as many factors as possible.</w:t>
      </w:r>
    </w:p>
    <w:p w:rsidR="002A3A11" w:rsidRDefault="002A3A11" w:rsidP="00F27EB1">
      <w:pPr>
        <w:ind w:left="720"/>
      </w:pPr>
    </w:p>
    <w:p w:rsidR="002A3A11" w:rsidRDefault="002A3A11" w:rsidP="00F27EB1">
      <w:pPr>
        <w:ind w:left="720"/>
      </w:pPr>
      <w:r w:rsidRPr="002A3A11">
        <w:t>Each key factor should be assigned a weight ranging from 0.0 (low importance) to 1.0 (high importance). The number indicates how important the factor is if a company wants to succeed in an industry. If there were no weights assigned, all the factors would be equally important, which is an impossible scenario in the real world. The sum of all the weights must equal 1.0. Separate factors should not be given too much emphasis (assigning a weight of 0.30 or more) because the success in an industry is rarely determined by one or few factors</w:t>
      </w:r>
      <w:r w:rsidR="007D19F5">
        <w:t xml:space="preserve"> (</w:t>
      </w:r>
      <w:r w:rsidR="007D19F5" w:rsidRPr="007D19F5">
        <w:t>Jurevicius</w:t>
      </w:r>
      <w:r w:rsidR="007D19F5">
        <w:t>, O (2014).)</w:t>
      </w:r>
      <w:r w:rsidRPr="002A3A11">
        <w:t>.</w:t>
      </w:r>
    </w:p>
    <w:p w:rsidR="007D19F5" w:rsidRDefault="007D19F5" w:rsidP="00F27EB1">
      <w:pPr>
        <w:ind w:left="720"/>
      </w:pPr>
    </w:p>
    <w:p w:rsidR="007D19F5" w:rsidRDefault="007D19F5" w:rsidP="00F27EB1">
      <w:pPr>
        <w:ind w:left="720"/>
      </w:pPr>
    </w:p>
    <w:p w:rsidR="006C5F1A" w:rsidRDefault="006C5F1A" w:rsidP="004E73B7">
      <w:pPr>
        <w:ind w:left="720"/>
      </w:pPr>
    </w:p>
    <w:p w:rsidR="00D51C14" w:rsidRDefault="00D51C14" w:rsidP="004E73B7">
      <w:pPr>
        <w:ind w:firstLine="0"/>
      </w:pPr>
    </w:p>
    <w:p w:rsidR="00D91FA0" w:rsidRDefault="00D91FA0" w:rsidP="00A42A7F"/>
    <w:tbl>
      <w:tblPr>
        <w:tblW w:w="21238" w:type="dxa"/>
        <w:tblInd w:w="-1170" w:type="dxa"/>
        <w:tblLook w:val="04A0" w:firstRow="1" w:lastRow="0" w:firstColumn="1" w:lastColumn="0" w:noHBand="0" w:noVBand="1"/>
      </w:tblPr>
      <w:tblGrid>
        <w:gridCol w:w="1925"/>
        <w:gridCol w:w="5260"/>
        <w:gridCol w:w="839"/>
        <w:gridCol w:w="794"/>
        <w:gridCol w:w="1420"/>
        <w:gridCol w:w="1320"/>
        <w:gridCol w:w="1320"/>
        <w:gridCol w:w="1760"/>
        <w:gridCol w:w="1320"/>
        <w:gridCol w:w="1320"/>
        <w:gridCol w:w="1320"/>
        <w:gridCol w:w="1320"/>
        <w:gridCol w:w="1320"/>
      </w:tblGrid>
      <w:tr w:rsidR="00D91FA0" w:rsidRPr="00D91FA0" w:rsidTr="00BA15FF">
        <w:trPr>
          <w:trHeight w:val="270"/>
        </w:trPr>
        <w:tc>
          <w:tcPr>
            <w:tcW w:w="1925"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lang w:eastAsia="en-US"/>
              </w:rPr>
            </w:pPr>
          </w:p>
        </w:tc>
        <w:tc>
          <w:tcPr>
            <w:tcW w:w="52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single" w:sz="8" w:space="0" w:color="auto"/>
              <w:left w:val="single" w:sz="8" w:space="0" w:color="auto"/>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single" w:sz="8" w:space="0" w:color="auto"/>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External Factor Evaluation Matrix (EFE)</w:t>
            </w:r>
          </w:p>
        </w:tc>
        <w:tc>
          <w:tcPr>
            <w:tcW w:w="839" w:type="dxa"/>
            <w:tcBorders>
              <w:top w:val="single" w:sz="8" w:space="0" w:color="auto"/>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794" w:type="dxa"/>
            <w:tcBorders>
              <w:top w:val="single" w:sz="8" w:space="0" w:color="auto"/>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1420" w:type="dxa"/>
            <w:tcBorders>
              <w:top w:val="single" w:sz="8" w:space="0" w:color="auto"/>
              <w:left w:val="nil"/>
              <w:bottom w:val="nil"/>
              <w:right w:val="single" w:sz="8" w:space="0" w:color="auto"/>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nil"/>
              <w:left w:val="single" w:sz="8" w:space="0" w:color="auto"/>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nil"/>
              <w:left w:val="nil"/>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Opportunities</w:t>
            </w:r>
          </w:p>
        </w:tc>
        <w:tc>
          <w:tcPr>
            <w:tcW w:w="839" w:type="dxa"/>
            <w:tcBorders>
              <w:top w:val="nil"/>
              <w:left w:val="nil"/>
              <w:bottom w:val="single" w:sz="8" w:space="0" w:color="auto"/>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w:t>
            </w:r>
          </w:p>
        </w:tc>
        <w:tc>
          <w:tcPr>
            <w:tcW w:w="794" w:type="dxa"/>
            <w:tcBorders>
              <w:top w:val="nil"/>
              <w:left w:val="nil"/>
              <w:bottom w:val="single" w:sz="8" w:space="0" w:color="auto"/>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Rating</w:t>
            </w:r>
          </w:p>
        </w:tc>
        <w:tc>
          <w:tcPr>
            <w:tcW w:w="1420" w:type="dxa"/>
            <w:tcBorders>
              <w:top w:val="nil"/>
              <w:left w:val="nil"/>
              <w:bottom w:val="single" w:sz="8" w:space="0" w:color="auto"/>
              <w:right w:val="single" w:sz="8" w:space="0" w:color="auto"/>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Weighted Score</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bookmarkStart w:id="1" w:name="RANGE!H14"/>
        <w:tc>
          <w:tcPr>
            <w:tcW w:w="1760" w:type="dxa"/>
            <w:tcBorders>
              <w:top w:val="single" w:sz="8" w:space="0" w:color="auto"/>
              <w:left w:val="single" w:sz="8" w:space="0" w:color="auto"/>
              <w:bottom w:val="single" w:sz="8" w:space="0" w:color="auto"/>
              <w:right w:val="single" w:sz="8" w:space="0" w:color="auto"/>
            </w:tcBorders>
            <w:shd w:val="clear" w:color="auto" w:fill="538DD5"/>
            <w:noWrap/>
            <w:vAlign w:val="bottom"/>
            <w:hideMark/>
          </w:tcPr>
          <w:p w:rsidR="00D91FA0" w:rsidRPr="00D91FA0" w:rsidRDefault="00D91FA0" w:rsidP="00D91FA0">
            <w:pPr>
              <w:spacing w:line="240" w:lineRule="auto"/>
              <w:ind w:firstLine="0"/>
              <w:jc w:val="center"/>
              <w:rPr>
                <w:rFonts w:ascii="Verdana" w:eastAsia="Times New Roman" w:hAnsi="Verdana" w:cs="Times New Roman"/>
                <w:b/>
                <w:bCs/>
                <w:color w:val="FFFFFF"/>
                <w:kern w:val="0"/>
                <w:sz w:val="20"/>
                <w:szCs w:val="20"/>
                <w:u w:val="single"/>
                <w:lang w:eastAsia="en-US"/>
              </w:rPr>
            </w:pPr>
            <w:r w:rsidRPr="00D91FA0">
              <w:rPr>
                <w:rFonts w:ascii="Verdana" w:eastAsia="Times New Roman" w:hAnsi="Verdana" w:cs="Times New Roman"/>
                <w:b/>
                <w:bCs/>
                <w:color w:val="FFFFFF"/>
                <w:kern w:val="0"/>
                <w:sz w:val="20"/>
                <w:szCs w:val="20"/>
                <w:u w:val="single"/>
                <w:lang w:eastAsia="en-US"/>
              </w:rPr>
              <w:fldChar w:fldCharType="begin"/>
            </w:r>
            <w:r w:rsidRPr="00D91FA0">
              <w:rPr>
                <w:rFonts w:ascii="Verdana" w:eastAsia="Times New Roman" w:hAnsi="Verdana" w:cs="Times New Roman"/>
                <w:b/>
                <w:bCs/>
                <w:color w:val="FFFFFF"/>
                <w:kern w:val="0"/>
                <w:sz w:val="20"/>
                <w:szCs w:val="20"/>
                <w:u w:val="single"/>
                <w:lang w:eastAsia="en-US"/>
              </w:rPr>
              <w:instrText xml:space="preserve"> HYPERLINK "file:///C:\\Users\\Daniel%20Adams\\Documents\\EFE%20Matrix%20assignment%20Nov%208.xlsx" \l "START!H28" </w:instrText>
            </w:r>
            <w:r w:rsidRPr="00D91FA0">
              <w:rPr>
                <w:rFonts w:ascii="Verdana" w:eastAsia="Times New Roman" w:hAnsi="Verdana" w:cs="Times New Roman"/>
                <w:b/>
                <w:bCs/>
                <w:color w:val="FFFFFF"/>
                <w:kern w:val="0"/>
                <w:sz w:val="20"/>
                <w:szCs w:val="20"/>
                <w:u w:val="single"/>
                <w:lang w:eastAsia="en-US"/>
              </w:rPr>
              <w:fldChar w:fldCharType="separate"/>
            </w:r>
            <w:r w:rsidRPr="00D91FA0">
              <w:rPr>
                <w:rFonts w:ascii="Verdana" w:eastAsia="Times New Roman" w:hAnsi="Verdana" w:cs="Times New Roman"/>
                <w:b/>
                <w:bCs/>
                <w:color w:val="FFFFFF"/>
                <w:kern w:val="0"/>
                <w:sz w:val="20"/>
                <w:szCs w:val="20"/>
                <w:u w:val="single"/>
                <w:lang w:eastAsia="en-US"/>
              </w:rPr>
              <w:t>Return to Start</w:t>
            </w:r>
            <w:r w:rsidRPr="00D91FA0">
              <w:rPr>
                <w:rFonts w:ascii="Verdana" w:eastAsia="Times New Roman" w:hAnsi="Verdana" w:cs="Times New Roman"/>
                <w:b/>
                <w:bCs/>
                <w:color w:val="FFFFFF"/>
                <w:kern w:val="0"/>
                <w:sz w:val="20"/>
                <w:szCs w:val="20"/>
                <w:u w:val="single"/>
                <w:lang w:eastAsia="en-US"/>
              </w:rPr>
              <w:fldChar w:fldCharType="end"/>
            </w:r>
            <w:bookmarkEnd w:id="1"/>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Verdana" w:eastAsia="Times New Roman" w:hAnsi="Verdana" w:cs="Times New Roman"/>
                <w:b/>
                <w:bCs/>
                <w:color w:val="FFFFFF"/>
                <w:kern w:val="0"/>
                <w:sz w:val="20"/>
                <w:szCs w:val="20"/>
                <w:u w:val="single"/>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5260" w:type="dxa"/>
            <w:tcBorders>
              <w:top w:val="nil"/>
              <w:left w:val="nil"/>
              <w:bottom w:val="nil"/>
              <w:right w:val="nil"/>
            </w:tcBorders>
            <w:shd w:val="clear" w:color="auto" w:fill="F2F2F2"/>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Mecklenburg county 2% increase for 2013 population</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0.12</w:t>
            </w:r>
          </w:p>
        </w:tc>
        <w:tc>
          <w:tcPr>
            <w:tcW w:w="1320" w:type="dxa"/>
            <w:tcBorders>
              <w:top w:val="nil"/>
              <w:left w:val="nil"/>
              <w:bottom w:val="nil"/>
              <w:right w:val="nil"/>
            </w:tcBorders>
            <w:shd w:val="clear" w:color="auto" w:fill="auto"/>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510"/>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5260" w:type="dxa"/>
            <w:tcBorders>
              <w:top w:val="nil"/>
              <w:left w:val="nil"/>
              <w:bottom w:val="nil"/>
              <w:right w:val="nil"/>
            </w:tcBorders>
            <w:shd w:val="clear" w:color="auto" w:fill="F2F2F2"/>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Reports forecast an increase in Primary Care Physicians needed in the region to balance the demand for health and wellness programs</w:t>
            </w:r>
            <w:r>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0.09</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0.18</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5260" w:type="dxa"/>
            <w:tcBorders>
              <w:top w:val="nil"/>
              <w:left w:val="nil"/>
              <w:bottom w:val="nil"/>
              <w:right w:val="nil"/>
            </w:tcBorders>
            <w:shd w:val="clear" w:color="auto" w:fill="F2F2F2"/>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xml:space="preserve"> Increase in corporate businesses moving into the Novant coverage regions</w:t>
            </w:r>
            <w:r>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0.05</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0.10</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5260" w:type="dxa"/>
            <w:tcBorders>
              <w:top w:val="nil"/>
              <w:left w:val="nil"/>
              <w:bottom w:val="nil"/>
              <w:right w:val="nil"/>
            </w:tcBorders>
            <w:shd w:val="clear" w:color="auto" w:fill="F2F2F2"/>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Increase in government transportation funding for health and wellness appointments</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0.28</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5.</w:t>
            </w:r>
          </w:p>
        </w:tc>
        <w:tc>
          <w:tcPr>
            <w:tcW w:w="5260" w:type="dxa"/>
            <w:tcBorders>
              <w:top w:val="nil"/>
              <w:left w:val="nil"/>
              <w:bottom w:val="nil"/>
              <w:right w:val="nil"/>
            </w:tcBorders>
            <w:shd w:val="clear" w:color="auto" w:fill="F2F2F2"/>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Increase in available land within the Novant coverage area</w:t>
            </w:r>
            <w:r>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0.05</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0.20</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6.</w:t>
            </w:r>
          </w:p>
        </w:tc>
        <w:tc>
          <w:tcPr>
            <w:tcW w:w="5260" w:type="dxa"/>
            <w:tcBorders>
              <w:top w:val="nil"/>
              <w:left w:val="nil"/>
              <w:bottom w:val="nil"/>
              <w:right w:val="nil"/>
            </w:tcBorders>
            <w:shd w:val="clear" w:color="auto" w:fill="F2F2F2"/>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Increase interest of specialists to join large care networks like Novant</w:t>
            </w:r>
            <w:r w:rsidR="00192FB0">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510"/>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7.</w:t>
            </w:r>
          </w:p>
        </w:tc>
        <w:tc>
          <w:tcPr>
            <w:tcW w:w="5260" w:type="dxa"/>
            <w:tcBorders>
              <w:top w:val="nil"/>
              <w:left w:val="nil"/>
              <w:bottom w:val="nil"/>
              <w:right w:val="nil"/>
            </w:tcBorders>
            <w:shd w:val="clear" w:color="auto" w:fill="F2F2F2"/>
          </w:tcPr>
          <w:p w:rsidR="00D91FA0" w:rsidRPr="00D91FA0" w:rsidRDefault="00192FB0"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Increase the partnership with local churches within Novant Health region.</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0.08</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0.08</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8.</w:t>
            </w:r>
          </w:p>
        </w:tc>
        <w:tc>
          <w:tcPr>
            <w:tcW w:w="5260" w:type="dxa"/>
            <w:tcBorders>
              <w:top w:val="nil"/>
              <w:left w:val="nil"/>
              <w:bottom w:val="nil"/>
              <w:right w:val="nil"/>
            </w:tcBorders>
            <w:shd w:val="clear" w:color="auto" w:fill="F2F2F2"/>
          </w:tcPr>
          <w:p w:rsidR="00D91FA0" w:rsidRPr="00D91FA0" w:rsidRDefault="00A04D6F"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Increase awareness at the local High School about healthy eating habits.</w:t>
            </w: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0.12</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0.36</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9.</w:t>
            </w:r>
          </w:p>
        </w:tc>
        <w:tc>
          <w:tcPr>
            <w:tcW w:w="5260" w:type="dxa"/>
            <w:tcBorders>
              <w:top w:val="nil"/>
              <w:left w:val="nil"/>
              <w:bottom w:val="nil"/>
              <w:right w:val="nil"/>
            </w:tcBorders>
            <w:shd w:val="clear" w:color="auto" w:fill="F2F2F2"/>
          </w:tcPr>
          <w:p w:rsidR="00D91FA0" w:rsidRDefault="00A04D6F"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Increase awareness about sexual disease in the community.</w:t>
            </w:r>
          </w:p>
          <w:p w:rsidR="00A04D6F" w:rsidRPr="00D91FA0" w:rsidRDefault="00A04D6F" w:rsidP="00D91FA0">
            <w:pPr>
              <w:spacing w:line="240" w:lineRule="auto"/>
              <w:ind w:firstLine="0"/>
              <w:rPr>
                <w:rFonts w:ascii="Times" w:eastAsia="Times New Roman" w:hAnsi="Times" w:cs="Times New Roman"/>
                <w:kern w:val="0"/>
                <w:sz w:val="20"/>
                <w:szCs w:val="20"/>
                <w:lang w:eastAsia="en-US"/>
              </w:rPr>
            </w:pPr>
          </w:p>
        </w:tc>
        <w:tc>
          <w:tcPr>
            <w:tcW w:w="839" w:type="dxa"/>
            <w:tcBorders>
              <w:top w:val="nil"/>
              <w:left w:val="single" w:sz="4" w:space="0" w:color="auto"/>
              <w:bottom w:val="nil"/>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0.04</w:t>
            </w:r>
          </w:p>
        </w:tc>
        <w:tc>
          <w:tcPr>
            <w:tcW w:w="794" w:type="dxa"/>
            <w:tcBorders>
              <w:top w:val="nil"/>
              <w:left w:val="nil"/>
              <w:bottom w:val="nil"/>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0.08</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single" w:sz="8" w:space="0" w:color="auto"/>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10.</w:t>
            </w:r>
          </w:p>
        </w:tc>
        <w:tc>
          <w:tcPr>
            <w:tcW w:w="5260" w:type="dxa"/>
            <w:tcBorders>
              <w:top w:val="nil"/>
              <w:left w:val="nil"/>
              <w:bottom w:val="single" w:sz="8" w:space="0" w:color="auto"/>
              <w:right w:val="nil"/>
            </w:tcBorders>
            <w:shd w:val="clear" w:color="auto" w:fill="F2F2F2"/>
          </w:tcPr>
          <w:p w:rsidR="00D91FA0" w:rsidRPr="00D91FA0" w:rsidRDefault="00A04D6F"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Offer health education to new business that have move to the local areas.</w:t>
            </w:r>
          </w:p>
        </w:tc>
        <w:tc>
          <w:tcPr>
            <w:tcW w:w="839" w:type="dxa"/>
            <w:tcBorders>
              <w:top w:val="nil"/>
              <w:left w:val="single" w:sz="4" w:space="0" w:color="auto"/>
              <w:bottom w:val="single" w:sz="8" w:space="0" w:color="auto"/>
              <w:right w:val="single" w:sz="4"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0.04</w:t>
            </w:r>
          </w:p>
        </w:tc>
        <w:tc>
          <w:tcPr>
            <w:tcW w:w="794" w:type="dxa"/>
            <w:tcBorders>
              <w:top w:val="nil"/>
              <w:left w:val="nil"/>
              <w:bottom w:val="single" w:sz="8" w:space="0" w:color="auto"/>
              <w:right w:val="nil"/>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single" w:sz="8" w:space="0" w:color="auto"/>
              <w:right w:val="single" w:sz="8" w:space="0" w:color="auto"/>
            </w:tcBorders>
            <w:shd w:val="clear" w:color="auto" w:fill="F2F2F2"/>
            <w:noWrap/>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0.04</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single" w:sz="8" w:space="0" w:color="auto"/>
              <w:left w:val="single" w:sz="8" w:space="0" w:color="auto"/>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single" w:sz="8" w:space="0" w:color="auto"/>
              <w:left w:val="nil"/>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Threats</w:t>
            </w:r>
          </w:p>
        </w:tc>
        <w:tc>
          <w:tcPr>
            <w:tcW w:w="839" w:type="dxa"/>
            <w:tcBorders>
              <w:top w:val="single" w:sz="8" w:space="0" w:color="auto"/>
              <w:left w:val="nil"/>
              <w:bottom w:val="single" w:sz="8" w:space="0" w:color="auto"/>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w:t>
            </w:r>
          </w:p>
        </w:tc>
        <w:tc>
          <w:tcPr>
            <w:tcW w:w="794" w:type="dxa"/>
            <w:tcBorders>
              <w:top w:val="single" w:sz="8" w:space="0" w:color="auto"/>
              <w:left w:val="nil"/>
              <w:bottom w:val="single" w:sz="8" w:space="0" w:color="auto"/>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Rating</w:t>
            </w:r>
          </w:p>
        </w:tc>
        <w:tc>
          <w:tcPr>
            <w:tcW w:w="1420" w:type="dxa"/>
            <w:tcBorders>
              <w:top w:val="single" w:sz="8" w:space="0" w:color="auto"/>
              <w:left w:val="nil"/>
              <w:bottom w:val="single" w:sz="8" w:space="0" w:color="auto"/>
              <w:right w:val="single" w:sz="8" w:space="0" w:color="auto"/>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Weighted Score</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5260" w:type="dxa"/>
            <w:tcBorders>
              <w:top w:val="nil"/>
              <w:left w:val="nil"/>
              <w:bottom w:val="nil"/>
              <w:right w:val="nil"/>
            </w:tcBorders>
            <w:shd w:val="clear" w:color="auto" w:fill="F2F2F2"/>
            <w:vAlign w:val="center"/>
          </w:tcPr>
          <w:p w:rsidR="00D91FA0" w:rsidRPr="00D91FA0" w:rsidRDefault="00EB2B97" w:rsidP="00D91FA0">
            <w:pPr>
              <w:spacing w:line="240" w:lineRule="auto"/>
              <w:ind w:firstLine="0"/>
              <w:rPr>
                <w:rFonts w:ascii="Times" w:eastAsia="Times New Roman" w:hAnsi="Times" w:cs="Times New Roman"/>
                <w:kern w:val="0"/>
                <w:sz w:val="20"/>
                <w:szCs w:val="20"/>
                <w:lang w:eastAsia="en-US"/>
              </w:rPr>
            </w:pPr>
            <w:r w:rsidRPr="00EB2B97">
              <w:rPr>
                <w:rFonts w:ascii="Times" w:eastAsia="Times New Roman" w:hAnsi="Times" w:cs="Times New Roman"/>
                <w:kern w:val="0"/>
                <w:sz w:val="20"/>
                <w:szCs w:val="20"/>
                <w:lang w:eastAsia="en-US"/>
              </w:rPr>
              <w:t>Competition within the region increasing annually (CMC, etc.)</w:t>
            </w:r>
            <w:r>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0.24</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5260" w:type="dxa"/>
            <w:tcBorders>
              <w:top w:val="nil"/>
              <w:left w:val="nil"/>
              <w:bottom w:val="nil"/>
              <w:right w:val="nil"/>
            </w:tcBorders>
            <w:shd w:val="clear" w:color="auto" w:fill="F2F2F2"/>
            <w:vAlign w:val="center"/>
          </w:tcPr>
          <w:p w:rsidR="00D91FA0" w:rsidRPr="00D91FA0" w:rsidRDefault="00EB2B97" w:rsidP="00D91FA0">
            <w:pPr>
              <w:spacing w:line="240" w:lineRule="auto"/>
              <w:ind w:firstLine="0"/>
              <w:rPr>
                <w:rFonts w:ascii="Times" w:eastAsia="Times New Roman" w:hAnsi="Times" w:cs="Times New Roman"/>
                <w:kern w:val="0"/>
                <w:sz w:val="20"/>
                <w:szCs w:val="20"/>
                <w:lang w:eastAsia="en-US"/>
              </w:rPr>
            </w:pPr>
            <w:r w:rsidRPr="00EB2B97">
              <w:rPr>
                <w:rFonts w:ascii="Times" w:eastAsia="Times New Roman" w:hAnsi="Times" w:cs="Times New Roman"/>
                <w:kern w:val="0"/>
                <w:sz w:val="20"/>
                <w:szCs w:val="20"/>
                <w:lang w:eastAsia="en-US"/>
              </w:rPr>
              <w:t>Decreased government funding for healthcare (is this really true with the Affordable Care Act)?</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0.05</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0.20</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5260" w:type="dxa"/>
            <w:tcBorders>
              <w:top w:val="nil"/>
              <w:left w:val="nil"/>
              <w:bottom w:val="nil"/>
              <w:right w:val="nil"/>
            </w:tcBorders>
            <w:shd w:val="clear" w:color="auto" w:fill="F2F2F2"/>
            <w:vAlign w:val="center"/>
          </w:tcPr>
          <w:p w:rsidR="00D91FA0" w:rsidRPr="00D91FA0" w:rsidRDefault="00EB2B97" w:rsidP="00D91FA0">
            <w:pPr>
              <w:spacing w:line="240" w:lineRule="auto"/>
              <w:ind w:firstLine="0"/>
              <w:rPr>
                <w:rFonts w:ascii="Times" w:eastAsia="Times New Roman" w:hAnsi="Times" w:cs="Times New Roman"/>
                <w:kern w:val="0"/>
                <w:sz w:val="20"/>
                <w:szCs w:val="20"/>
                <w:lang w:eastAsia="en-US"/>
              </w:rPr>
            </w:pPr>
            <w:r w:rsidRPr="00EB2B97">
              <w:rPr>
                <w:rFonts w:ascii="Times" w:eastAsia="Times New Roman" w:hAnsi="Times" w:cs="Times New Roman"/>
                <w:kern w:val="0"/>
                <w:sz w:val="20"/>
                <w:szCs w:val="20"/>
                <w:lang w:eastAsia="en-US"/>
              </w:rPr>
              <w:t>Lower wage earners inability to pay for health coverage</w:t>
            </w:r>
            <w:r>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0.09</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0.27</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360"/>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5260" w:type="dxa"/>
            <w:tcBorders>
              <w:top w:val="nil"/>
              <w:left w:val="nil"/>
              <w:bottom w:val="nil"/>
              <w:right w:val="nil"/>
            </w:tcBorders>
            <w:shd w:val="clear" w:color="auto" w:fill="F2F2F2"/>
            <w:vAlign w:val="center"/>
          </w:tcPr>
          <w:p w:rsidR="00D91FA0" w:rsidRPr="00D91FA0" w:rsidRDefault="00EB2B97"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 xml:space="preserve">Major corporation moving outside of the Novant </w:t>
            </w:r>
            <w:r w:rsidR="00D82AE8">
              <w:rPr>
                <w:rFonts w:ascii="Times" w:eastAsia="Times New Roman" w:hAnsi="Times" w:cs="Times New Roman"/>
                <w:kern w:val="0"/>
                <w:sz w:val="20"/>
                <w:szCs w:val="20"/>
                <w:lang w:eastAsia="en-US"/>
              </w:rPr>
              <w:t xml:space="preserve">health care </w:t>
            </w:r>
            <w:r>
              <w:rPr>
                <w:rFonts w:ascii="Times" w:eastAsia="Times New Roman" w:hAnsi="Times" w:cs="Times New Roman"/>
                <w:kern w:val="0"/>
                <w:sz w:val="20"/>
                <w:szCs w:val="20"/>
                <w:lang w:eastAsia="en-US"/>
              </w:rPr>
              <w:t>coverage areas.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0.01</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5.</w:t>
            </w:r>
          </w:p>
        </w:tc>
        <w:tc>
          <w:tcPr>
            <w:tcW w:w="5260" w:type="dxa"/>
            <w:tcBorders>
              <w:top w:val="nil"/>
              <w:left w:val="nil"/>
              <w:bottom w:val="nil"/>
              <w:right w:val="nil"/>
            </w:tcBorders>
            <w:shd w:val="clear" w:color="auto" w:fill="F2F2F2"/>
            <w:vAlign w:val="center"/>
          </w:tcPr>
          <w:p w:rsidR="00D91FA0" w:rsidRPr="00D91FA0" w:rsidRDefault="00D82AE8"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 xml:space="preserve">Primary Physician using other </w:t>
            </w:r>
            <w:r w:rsidR="00A84BA5">
              <w:rPr>
                <w:rFonts w:ascii="Times" w:eastAsia="Times New Roman" w:hAnsi="Times" w:cs="Times New Roman"/>
                <w:kern w:val="0"/>
                <w:sz w:val="20"/>
                <w:szCs w:val="20"/>
                <w:lang w:eastAsia="en-US"/>
              </w:rPr>
              <w:t>outsources</w:t>
            </w:r>
            <w:r>
              <w:rPr>
                <w:rFonts w:ascii="Times" w:eastAsia="Times New Roman" w:hAnsi="Times" w:cs="Times New Roman"/>
                <w:kern w:val="0"/>
                <w:sz w:val="20"/>
                <w:szCs w:val="20"/>
                <w:lang w:eastAsia="en-US"/>
              </w:rPr>
              <w:t xml:space="preserve"> facilities for their patient service.</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360"/>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6.</w:t>
            </w:r>
          </w:p>
        </w:tc>
        <w:tc>
          <w:tcPr>
            <w:tcW w:w="5260" w:type="dxa"/>
            <w:tcBorders>
              <w:top w:val="nil"/>
              <w:left w:val="nil"/>
              <w:bottom w:val="nil"/>
              <w:right w:val="nil"/>
            </w:tcBorders>
            <w:shd w:val="clear" w:color="auto" w:fill="F2F2F2"/>
            <w:vAlign w:val="center"/>
          </w:tcPr>
          <w:p w:rsidR="00D91FA0" w:rsidRPr="00D91FA0" w:rsidRDefault="00D82AE8"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Decrease in network health insurance options to patients.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7.</w:t>
            </w:r>
          </w:p>
        </w:tc>
        <w:tc>
          <w:tcPr>
            <w:tcW w:w="5260" w:type="dxa"/>
            <w:tcBorders>
              <w:top w:val="nil"/>
              <w:left w:val="nil"/>
              <w:bottom w:val="nil"/>
              <w:right w:val="nil"/>
            </w:tcBorders>
            <w:shd w:val="clear" w:color="auto" w:fill="F2F2F2"/>
            <w:vAlign w:val="center"/>
          </w:tcPr>
          <w:p w:rsidR="00D91FA0" w:rsidRPr="00D91FA0" w:rsidRDefault="006B3F1D"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The increase of Mini clinics (CVS, Walgreen, etc.).</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8.</w:t>
            </w:r>
          </w:p>
        </w:tc>
        <w:tc>
          <w:tcPr>
            <w:tcW w:w="5260" w:type="dxa"/>
            <w:tcBorders>
              <w:top w:val="nil"/>
              <w:left w:val="nil"/>
              <w:bottom w:val="nil"/>
              <w:right w:val="nil"/>
            </w:tcBorders>
            <w:shd w:val="clear" w:color="auto" w:fill="F2F2F2"/>
            <w:vAlign w:val="center"/>
          </w:tcPr>
          <w:p w:rsidR="00D91FA0" w:rsidRPr="00D91FA0" w:rsidRDefault="006B3F1D"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 xml:space="preserve">Decrease in </w:t>
            </w:r>
            <w:r w:rsidR="00570C88">
              <w:rPr>
                <w:rFonts w:ascii="Times" w:eastAsia="Times New Roman" w:hAnsi="Times" w:cs="Times New Roman"/>
                <w:kern w:val="0"/>
                <w:sz w:val="20"/>
                <w:szCs w:val="20"/>
                <w:lang w:eastAsia="en-US"/>
              </w:rPr>
              <w:t>patient visiting to doctor offices.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9.</w:t>
            </w:r>
          </w:p>
        </w:tc>
        <w:tc>
          <w:tcPr>
            <w:tcW w:w="5260" w:type="dxa"/>
            <w:tcBorders>
              <w:top w:val="nil"/>
              <w:left w:val="nil"/>
              <w:bottom w:val="nil"/>
              <w:right w:val="nil"/>
            </w:tcBorders>
            <w:shd w:val="clear" w:color="auto" w:fill="F2F2F2"/>
            <w:vAlign w:val="center"/>
          </w:tcPr>
          <w:p w:rsidR="00D91FA0" w:rsidRPr="00D91FA0" w:rsidRDefault="00570C88"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Physicians moving to larger city for better pay for their health care service.</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0.01</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40"/>
        </w:trPr>
        <w:tc>
          <w:tcPr>
            <w:tcW w:w="1925" w:type="dxa"/>
            <w:tcBorders>
              <w:top w:val="nil"/>
              <w:left w:val="single" w:sz="8" w:space="0" w:color="auto"/>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10.</w:t>
            </w:r>
          </w:p>
        </w:tc>
        <w:tc>
          <w:tcPr>
            <w:tcW w:w="5260" w:type="dxa"/>
            <w:tcBorders>
              <w:top w:val="nil"/>
              <w:left w:val="nil"/>
              <w:bottom w:val="nil"/>
              <w:right w:val="nil"/>
            </w:tcBorders>
            <w:shd w:val="clear" w:color="auto" w:fill="F2F2F2"/>
            <w:vAlign w:val="center"/>
          </w:tcPr>
          <w:p w:rsidR="00D91FA0" w:rsidRPr="00D91FA0" w:rsidRDefault="00570C88"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 xml:space="preserve">More family </w:t>
            </w:r>
            <w:r w:rsidR="00E65FAD">
              <w:rPr>
                <w:rFonts w:ascii="Times" w:eastAsia="Times New Roman" w:hAnsi="Times" w:cs="Times New Roman"/>
                <w:kern w:val="0"/>
                <w:sz w:val="20"/>
                <w:szCs w:val="20"/>
                <w:lang w:eastAsia="en-US"/>
              </w:rPr>
              <w:t>is</w:t>
            </w:r>
            <w:r>
              <w:rPr>
                <w:rFonts w:ascii="Times" w:eastAsia="Times New Roman" w:hAnsi="Times" w:cs="Times New Roman"/>
                <w:kern w:val="0"/>
                <w:sz w:val="20"/>
                <w:szCs w:val="20"/>
                <w:lang w:eastAsia="en-US"/>
              </w:rPr>
              <w:t xml:space="preserve"> having </w:t>
            </w:r>
            <w:r w:rsidR="00E65FAD">
              <w:rPr>
                <w:rFonts w:ascii="Times" w:eastAsia="Times New Roman" w:hAnsi="Times" w:cs="Times New Roman"/>
                <w:kern w:val="0"/>
                <w:sz w:val="20"/>
                <w:szCs w:val="20"/>
                <w:lang w:eastAsia="en-US"/>
              </w:rPr>
              <w:t>fewer</w:t>
            </w:r>
            <w:r>
              <w:rPr>
                <w:rFonts w:ascii="Times" w:eastAsia="Times New Roman" w:hAnsi="Times" w:cs="Times New Roman"/>
                <w:kern w:val="0"/>
                <w:sz w:val="20"/>
                <w:szCs w:val="20"/>
                <w:lang w:eastAsia="en-US"/>
              </w:rPr>
              <w:t xml:space="preserve"> babies in the region due the decrease in employment.</w:t>
            </w:r>
          </w:p>
        </w:tc>
        <w:tc>
          <w:tcPr>
            <w:tcW w:w="839" w:type="dxa"/>
            <w:tcBorders>
              <w:top w:val="nil"/>
              <w:left w:val="single" w:sz="4" w:space="0" w:color="auto"/>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single" w:sz="4" w:space="0" w:color="auto"/>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single" w:sz="4" w:space="0" w:color="auto"/>
              <w:right w:val="single" w:sz="8"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nil"/>
              <w:left w:val="single" w:sz="8" w:space="0" w:color="auto"/>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nil"/>
              <w:left w:val="nil"/>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TOTALS</w:t>
            </w:r>
          </w:p>
        </w:tc>
        <w:tc>
          <w:tcPr>
            <w:tcW w:w="839" w:type="dxa"/>
            <w:tcBorders>
              <w:top w:val="nil"/>
              <w:left w:val="nil"/>
              <w:bottom w:val="single" w:sz="8" w:space="0" w:color="auto"/>
              <w:right w:val="nil"/>
            </w:tcBorders>
            <w:shd w:val="clear" w:color="auto" w:fill="C4BD97"/>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1.00</w:t>
            </w:r>
          </w:p>
        </w:tc>
        <w:tc>
          <w:tcPr>
            <w:tcW w:w="794" w:type="dxa"/>
            <w:tcBorders>
              <w:top w:val="nil"/>
              <w:left w:val="nil"/>
              <w:bottom w:val="single" w:sz="8" w:space="0" w:color="auto"/>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1420" w:type="dxa"/>
            <w:tcBorders>
              <w:top w:val="nil"/>
              <w:left w:val="nil"/>
              <w:bottom w:val="single" w:sz="8" w:space="0" w:color="auto"/>
              <w:right w:val="single" w:sz="8" w:space="0" w:color="auto"/>
            </w:tcBorders>
            <w:shd w:val="clear" w:color="auto" w:fill="C4BD97"/>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2.55</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Default="00D91FA0"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Default="00BB2BB2" w:rsidP="00D91FA0">
            <w:pPr>
              <w:spacing w:line="240" w:lineRule="auto"/>
              <w:ind w:firstLine="0"/>
              <w:rPr>
                <w:rFonts w:ascii="Times New Roman" w:eastAsia="Times New Roman" w:hAnsi="Times New Roman" w:cs="Times New Roman"/>
                <w:kern w:val="0"/>
                <w:sz w:val="20"/>
                <w:szCs w:val="20"/>
                <w:lang w:eastAsia="en-US"/>
              </w:rPr>
            </w:pPr>
          </w:p>
          <w:p w:rsidR="00BB2BB2" w:rsidRPr="00D91FA0" w:rsidRDefault="00BB2BB2"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345"/>
        </w:trPr>
        <w:tc>
          <w:tcPr>
            <w:tcW w:w="1925"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Internal Factor Evaluation Matrix (IFE)</w:t>
            </w:r>
          </w:p>
        </w:tc>
        <w:tc>
          <w:tcPr>
            <w:tcW w:w="839"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794"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1420"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C4BD97"/>
            <w:noWrap/>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Strengths</w:t>
            </w:r>
          </w:p>
        </w:tc>
        <w:tc>
          <w:tcPr>
            <w:tcW w:w="839" w:type="dxa"/>
            <w:tcBorders>
              <w:top w:val="nil"/>
              <w:left w:val="nil"/>
              <w:bottom w:val="nil"/>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w:t>
            </w:r>
          </w:p>
        </w:tc>
        <w:tc>
          <w:tcPr>
            <w:tcW w:w="794" w:type="dxa"/>
            <w:tcBorders>
              <w:top w:val="nil"/>
              <w:left w:val="nil"/>
              <w:bottom w:val="nil"/>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Rating</w:t>
            </w:r>
          </w:p>
        </w:tc>
        <w:tc>
          <w:tcPr>
            <w:tcW w:w="1420" w:type="dxa"/>
            <w:tcBorders>
              <w:top w:val="nil"/>
              <w:left w:val="nil"/>
              <w:bottom w:val="nil"/>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Weighted Score</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Remarkable Healthcare Service</w:t>
            </w:r>
          </w:p>
        </w:tc>
        <w:tc>
          <w:tcPr>
            <w:tcW w:w="839" w:type="dxa"/>
            <w:tcBorders>
              <w:top w:val="single" w:sz="4" w:space="0" w:color="auto"/>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single" w:sz="4" w:space="0" w:color="auto"/>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single" w:sz="4" w:space="0" w:color="auto"/>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Great Customer Service</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0.01</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Employment Benefits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0.05</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0.10</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Employment Diversity</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5.</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Healthcare Technology System</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6.</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xml:space="preserve">Fair Pay </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70"/>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lastRenderedPageBreak/>
              <w:t>7.</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Sel</w:t>
            </w:r>
            <w:r w:rsidR="00BB2BB2">
              <w:rPr>
                <w:rFonts w:ascii="Times" w:eastAsia="Times New Roman" w:hAnsi="Times" w:cs="Times New Roman"/>
                <w:kern w:val="0"/>
                <w:sz w:val="20"/>
                <w:szCs w:val="20"/>
                <w:lang w:eastAsia="en-US"/>
              </w:rPr>
              <w:t>f-service discount for employee</w:t>
            </w:r>
            <w:r w:rsidRPr="00D91FA0">
              <w:rPr>
                <w:rFonts w:ascii="Times" w:eastAsia="Times New Roman" w:hAnsi="Times" w:cs="Times New Roman"/>
                <w:kern w:val="0"/>
                <w:sz w:val="20"/>
                <w:szCs w:val="20"/>
                <w:lang w:eastAsia="en-US"/>
              </w:rPr>
              <w:t>s and family member</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bookmarkStart w:id="2" w:name="RANGE!H55"/>
        <w:tc>
          <w:tcPr>
            <w:tcW w:w="1760" w:type="dxa"/>
            <w:tcBorders>
              <w:top w:val="single" w:sz="8" w:space="0" w:color="auto"/>
              <w:left w:val="single" w:sz="8" w:space="0" w:color="auto"/>
              <w:bottom w:val="single" w:sz="8" w:space="0" w:color="auto"/>
              <w:right w:val="single" w:sz="8" w:space="0" w:color="auto"/>
            </w:tcBorders>
            <w:shd w:val="clear" w:color="auto" w:fill="538DD5"/>
            <w:noWrap/>
            <w:vAlign w:val="bottom"/>
            <w:hideMark/>
          </w:tcPr>
          <w:p w:rsidR="00D91FA0" w:rsidRPr="00D91FA0" w:rsidRDefault="00D91FA0" w:rsidP="00D91FA0">
            <w:pPr>
              <w:spacing w:line="240" w:lineRule="auto"/>
              <w:ind w:firstLine="0"/>
              <w:jc w:val="center"/>
              <w:rPr>
                <w:rFonts w:ascii="Verdana" w:eastAsia="Times New Roman" w:hAnsi="Verdana" w:cs="Times New Roman"/>
                <w:b/>
                <w:bCs/>
                <w:color w:val="FFFFFF"/>
                <w:kern w:val="0"/>
                <w:sz w:val="20"/>
                <w:szCs w:val="20"/>
                <w:u w:val="single"/>
                <w:lang w:eastAsia="en-US"/>
              </w:rPr>
            </w:pPr>
            <w:r w:rsidRPr="00D91FA0">
              <w:rPr>
                <w:rFonts w:ascii="Verdana" w:eastAsia="Times New Roman" w:hAnsi="Verdana" w:cs="Times New Roman"/>
                <w:b/>
                <w:bCs/>
                <w:color w:val="FFFFFF"/>
                <w:kern w:val="0"/>
                <w:sz w:val="20"/>
                <w:szCs w:val="20"/>
                <w:u w:val="single"/>
                <w:lang w:eastAsia="en-US"/>
              </w:rPr>
              <w:fldChar w:fldCharType="begin"/>
            </w:r>
            <w:r w:rsidRPr="00D91FA0">
              <w:rPr>
                <w:rFonts w:ascii="Verdana" w:eastAsia="Times New Roman" w:hAnsi="Verdana" w:cs="Times New Roman"/>
                <w:b/>
                <w:bCs/>
                <w:color w:val="FFFFFF"/>
                <w:kern w:val="0"/>
                <w:sz w:val="20"/>
                <w:szCs w:val="20"/>
                <w:u w:val="single"/>
                <w:lang w:eastAsia="en-US"/>
              </w:rPr>
              <w:instrText xml:space="preserve"> HYPERLINK "file:///C:\\Users\\Daniel%20Adams\\Documents\\EFE%20Matrix%20assignment%20Nov%208.xlsx" \l "START!H113" </w:instrText>
            </w:r>
            <w:r w:rsidRPr="00D91FA0">
              <w:rPr>
                <w:rFonts w:ascii="Verdana" w:eastAsia="Times New Roman" w:hAnsi="Verdana" w:cs="Times New Roman"/>
                <w:b/>
                <w:bCs/>
                <w:color w:val="FFFFFF"/>
                <w:kern w:val="0"/>
                <w:sz w:val="20"/>
                <w:szCs w:val="20"/>
                <w:u w:val="single"/>
                <w:lang w:eastAsia="en-US"/>
              </w:rPr>
              <w:fldChar w:fldCharType="separate"/>
            </w:r>
            <w:r w:rsidRPr="00D91FA0">
              <w:rPr>
                <w:rFonts w:ascii="Verdana" w:eastAsia="Times New Roman" w:hAnsi="Verdana" w:cs="Times New Roman"/>
                <w:b/>
                <w:bCs/>
                <w:color w:val="FFFFFF"/>
                <w:kern w:val="0"/>
                <w:sz w:val="20"/>
                <w:szCs w:val="20"/>
                <w:u w:val="single"/>
                <w:lang w:eastAsia="en-US"/>
              </w:rPr>
              <w:t>Return to Start</w:t>
            </w:r>
            <w:r w:rsidRPr="00D91FA0">
              <w:rPr>
                <w:rFonts w:ascii="Verdana" w:eastAsia="Times New Roman" w:hAnsi="Verdana" w:cs="Times New Roman"/>
                <w:b/>
                <w:bCs/>
                <w:color w:val="FFFFFF"/>
                <w:kern w:val="0"/>
                <w:sz w:val="20"/>
                <w:szCs w:val="20"/>
                <w:u w:val="single"/>
                <w:lang w:eastAsia="en-US"/>
              </w:rPr>
              <w:fldChar w:fldCharType="end"/>
            </w:r>
            <w:bookmarkEnd w:id="2"/>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Verdana" w:eastAsia="Times New Roman" w:hAnsi="Verdana" w:cs="Times New Roman"/>
                <w:b/>
                <w:bCs/>
                <w:color w:val="FFFFFF"/>
                <w:kern w:val="0"/>
                <w:sz w:val="20"/>
                <w:szCs w:val="20"/>
                <w:u w:val="single"/>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8.</w:t>
            </w:r>
          </w:p>
        </w:tc>
        <w:tc>
          <w:tcPr>
            <w:tcW w:w="5260" w:type="dxa"/>
            <w:tcBorders>
              <w:top w:val="nil"/>
              <w:left w:val="nil"/>
              <w:bottom w:val="nil"/>
              <w:right w:val="nil"/>
            </w:tcBorders>
            <w:shd w:val="clear" w:color="auto" w:fill="F2F2F2"/>
            <w:vAlign w:val="center"/>
            <w:hideMark/>
          </w:tcPr>
          <w:p w:rsidR="00D91FA0" w:rsidRPr="00D91FA0" w:rsidRDefault="00BB2BB2" w:rsidP="00D91FA0">
            <w:pPr>
              <w:spacing w:line="240" w:lineRule="auto"/>
              <w:ind w:firstLine="0"/>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 xml:space="preserve">Have the able to offer </w:t>
            </w:r>
            <w:r w:rsidR="00D91FA0" w:rsidRPr="00D91FA0">
              <w:rPr>
                <w:rFonts w:ascii="Times" w:eastAsia="Times New Roman" w:hAnsi="Times" w:cs="Times New Roman"/>
                <w:kern w:val="0"/>
                <w:sz w:val="20"/>
                <w:szCs w:val="20"/>
                <w:lang w:eastAsia="en-US"/>
              </w:rPr>
              <w:t xml:space="preserve">100% Financial Charity </w:t>
            </w:r>
            <w:r>
              <w:rPr>
                <w:rFonts w:ascii="Times" w:eastAsia="Times New Roman" w:hAnsi="Times" w:cs="Times New Roman"/>
                <w:kern w:val="0"/>
                <w:sz w:val="20"/>
                <w:szCs w:val="20"/>
                <w:lang w:eastAsia="en-US"/>
              </w:rPr>
              <w:t xml:space="preserve">to </w:t>
            </w:r>
            <w:r w:rsidR="00CE2780">
              <w:rPr>
                <w:rFonts w:ascii="Times" w:eastAsia="Times New Roman" w:hAnsi="Times" w:cs="Times New Roman"/>
                <w:kern w:val="0"/>
                <w:sz w:val="20"/>
                <w:szCs w:val="20"/>
                <w:lang w:eastAsia="en-US"/>
              </w:rPr>
              <w:t>patient who qualifies</w:t>
            </w:r>
            <w:r>
              <w:rPr>
                <w:rFonts w:ascii="Times" w:eastAsia="Times New Roman" w:hAnsi="Times" w:cs="Times New Roman"/>
                <w:kern w:val="0"/>
                <w:sz w:val="20"/>
                <w:szCs w:val="20"/>
                <w:lang w:eastAsia="en-US"/>
              </w:rPr>
              <w:t>.</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371CB6" w:rsidP="00D91FA0">
            <w:pPr>
              <w:spacing w:line="240" w:lineRule="auto"/>
              <w:ind w:firstLine="0"/>
              <w:jc w:val="center"/>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0.05</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0.02</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9.</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Recognized for Medical Achievement and Wards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0.14</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360"/>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10.</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Excellent employee morale</w:t>
            </w:r>
          </w:p>
        </w:tc>
        <w:tc>
          <w:tcPr>
            <w:tcW w:w="839" w:type="dxa"/>
            <w:tcBorders>
              <w:top w:val="nil"/>
              <w:left w:val="single" w:sz="4" w:space="0" w:color="auto"/>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794" w:type="dxa"/>
            <w:tcBorders>
              <w:top w:val="nil"/>
              <w:left w:val="nil"/>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nil"/>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0.24</w:t>
            </w:r>
          </w:p>
        </w:tc>
        <w:tc>
          <w:tcPr>
            <w:tcW w:w="1320" w:type="dxa"/>
            <w:tcBorders>
              <w:top w:val="nil"/>
              <w:left w:val="nil"/>
              <w:bottom w:val="nil"/>
              <w:right w:val="nil"/>
            </w:tcBorders>
            <w:shd w:val="clear" w:color="auto" w:fill="auto"/>
            <w:noWrap/>
            <w:vAlign w:val="bottom"/>
            <w:hideMark/>
          </w:tcPr>
          <w:p w:rsidR="00D91FA0" w:rsidRDefault="00D91FA0" w:rsidP="00D91FA0">
            <w:pPr>
              <w:spacing w:line="240" w:lineRule="auto"/>
              <w:ind w:firstLine="0"/>
              <w:jc w:val="center"/>
              <w:rPr>
                <w:rFonts w:ascii="Times" w:eastAsia="Times New Roman" w:hAnsi="Times" w:cs="Times New Roman"/>
                <w:kern w:val="0"/>
                <w:sz w:val="20"/>
                <w:szCs w:val="20"/>
                <w:lang w:eastAsia="en-US"/>
              </w:rPr>
            </w:pPr>
          </w:p>
          <w:p w:rsidR="004E73B7" w:rsidRPr="00D91FA0" w:rsidRDefault="004E73B7" w:rsidP="004E73B7">
            <w:pPr>
              <w:spacing w:line="240" w:lineRule="auto"/>
              <w:ind w:firstLine="0"/>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hideMark/>
          </w:tcPr>
          <w:p w:rsidR="00D91FA0" w:rsidRDefault="00D91FA0" w:rsidP="00D91FA0">
            <w:pPr>
              <w:spacing w:line="240" w:lineRule="auto"/>
              <w:ind w:firstLine="0"/>
              <w:rPr>
                <w:rFonts w:ascii="Times New Roman" w:eastAsia="Times New Roman" w:hAnsi="Times New Roman" w:cs="Times New Roman"/>
                <w:kern w:val="0"/>
                <w:sz w:val="20"/>
                <w:szCs w:val="20"/>
                <w:lang w:eastAsia="en-US"/>
              </w:rPr>
            </w:pPr>
          </w:p>
          <w:p w:rsidR="004E73B7" w:rsidRDefault="004E73B7" w:rsidP="00D91FA0">
            <w:pPr>
              <w:spacing w:line="240" w:lineRule="auto"/>
              <w:ind w:firstLine="0"/>
              <w:rPr>
                <w:rFonts w:ascii="Times New Roman" w:eastAsia="Times New Roman" w:hAnsi="Times New Roman" w:cs="Times New Roman"/>
                <w:kern w:val="0"/>
                <w:sz w:val="20"/>
                <w:szCs w:val="20"/>
                <w:lang w:eastAsia="en-US"/>
              </w:rPr>
            </w:pPr>
          </w:p>
          <w:p w:rsidR="004E73B7" w:rsidRDefault="004E73B7" w:rsidP="00D91FA0">
            <w:pPr>
              <w:spacing w:line="240" w:lineRule="auto"/>
              <w:ind w:firstLine="0"/>
              <w:rPr>
                <w:rFonts w:ascii="Times New Roman" w:eastAsia="Times New Roman" w:hAnsi="Times New Roman" w:cs="Times New Roman"/>
                <w:kern w:val="0"/>
                <w:sz w:val="20"/>
                <w:szCs w:val="20"/>
                <w:lang w:eastAsia="en-US"/>
              </w:rPr>
            </w:pPr>
          </w:p>
          <w:p w:rsidR="004E73B7" w:rsidRDefault="004E73B7" w:rsidP="00D91FA0">
            <w:pPr>
              <w:spacing w:line="240" w:lineRule="auto"/>
              <w:ind w:firstLine="0"/>
              <w:rPr>
                <w:rFonts w:ascii="Times New Roman" w:eastAsia="Times New Roman" w:hAnsi="Times New Roman" w:cs="Times New Roman"/>
                <w:kern w:val="0"/>
                <w:sz w:val="20"/>
                <w:szCs w:val="20"/>
                <w:lang w:eastAsia="en-US"/>
              </w:rPr>
            </w:pPr>
          </w:p>
          <w:p w:rsidR="004E73B7" w:rsidRDefault="004E73B7" w:rsidP="00D91FA0">
            <w:pPr>
              <w:spacing w:line="240" w:lineRule="auto"/>
              <w:ind w:firstLine="0"/>
              <w:rPr>
                <w:rFonts w:ascii="Times New Roman" w:eastAsia="Times New Roman" w:hAnsi="Times New Roman" w:cs="Times New Roman"/>
                <w:kern w:val="0"/>
                <w:sz w:val="20"/>
                <w:szCs w:val="20"/>
                <w:lang w:eastAsia="en-US"/>
              </w:rPr>
            </w:pPr>
          </w:p>
          <w:p w:rsidR="004E73B7" w:rsidRPr="00D91FA0" w:rsidRDefault="004E73B7"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C4BD97"/>
            <w:noWrap/>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Weaknesses</w:t>
            </w:r>
          </w:p>
        </w:tc>
        <w:tc>
          <w:tcPr>
            <w:tcW w:w="839" w:type="dxa"/>
            <w:tcBorders>
              <w:top w:val="nil"/>
              <w:left w:val="nil"/>
              <w:bottom w:val="nil"/>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w:t>
            </w:r>
          </w:p>
        </w:tc>
        <w:tc>
          <w:tcPr>
            <w:tcW w:w="794" w:type="dxa"/>
            <w:tcBorders>
              <w:top w:val="nil"/>
              <w:left w:val="nil"/>
              <w:bottom w:val="nil"/>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Rating</w:t>
            </w:r>
          </w:p>
        </w:tc>
        <w:tc>
          <w:tcPr>
            <w:tcW w:w="1420" w:type="dxa"/>
            <w:tcBorders>
              <w:top w:val="nil"/>
              <w:left w:val="nil"/>
              <w:bottom w:val="nil"/>
              <w:right w:val="nil"/>
            </w:tcBorders>
            <w:shd w:val="clear" w:color="auto" w:fill="C4BD97"/>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r w:rsidRPr="00D91FA0">
              <w:rPr>
                <w:rFonts w:ascii="Times" w:eastAsia="Times New Roman" w:hAnsi="Times" w:cs="Times New Roman"/>
                <w:b/>
                <w:bCs/>
                <w:kern w:val="0"/>
                <w:sz w:val="20"/>
                <w:szCs w:val="20"/>
                <w:u w:val="single"/>
                <w:lang w:eastAsia="en-US"/>
              </w:rPr>
              <w:t>Weighted Score</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u w:val="single"/>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Old Medical facilities</w:t>
            </w:r>
          </w:p>
        </w:tc>
        <w:tc>
          <w:tcPr>
            <w:tcW w:w="839" w:type="dxa"/>
            <w:tcBorders>
              <w:top w:val="single" w:sz="4" w:space="0" w:color="auto"/>
              <w:left w:val="single" w:sz="4" w:space="0" w:color="auto"/>
              <w:bottom w:val="nil"/>
              <w:right w:val="single" w:sz="4" w:space="0" w:color="auto"/>
            </w:tcBorders>
            <w:shd w:val="clear" w:color="auto" w:fill="F2F2F2"/>
            <w:noWrap/>
            <w:vAlign w:val="center"/>
            <w:hideMark/>
          </w:tcPr>
          <w:p w:rsidR="00D91FA0" w:rsidRPr="00D91FA0" w:rsidRDefault="00371CB6" w:rsidP="00D91FA0">
            <w:pPr>
              <w:spacing w:line="240" w:lineRule="auto"/>
              <w:ind w:firstLine="0"/>
              <w:jc w:val="center"/>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0.08</w:t>
            </w:r>
          </w:p>
        </w:tc>
        <w:tc>
          <w:tcPr>
            <w:tcW w:w="794" w:type="dxa"/>
            <w:tcBorders>
              <w:top w:val="single" w:sz="4" w:space="0" w:color="auto"/>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5</w:t>
            </w:r>
          </w:p>
        </w:tc>
        <w:tc>
          <w:tcPr>
            <w:tcW w:w="1420" w:type="dxa"/>
            <w:tcBorders>
              <w:top w:val="single" w:sz="4" w:space="0" w:color="auto"/>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0.05</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Out dated medical equipment</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371CB6" w:rsidP="00D91FA0">
            <w:pPr>
              <w:spacing w:line="240" w:lineRule="auto"/>
              <w:ind w:firstLine="0"/>
              <w:jc w:val="center"/>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0.05</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Short Staffing</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0.07</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0.14</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Closing of medical facilities creates avoid in rural areas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0.04</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0.04</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5.</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Patient education</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0.08</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3</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0.23</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6.</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Disruptions in IT service</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4</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0.12</w:t>
            </w:r>
          </w:p>
        </w:tc>
        <w:tc>
          <w:tcPr>
            <w:tcW w:w="1320" w:type="dxa"/>
            <w:tcBorders>
              <w:top w:val="nil"/>
              <w:left w:val="nil"/>
              <w:bottom w:val="nil"/>
              <w:right w:val="nil"/>
            </w:tcBorders>
            <w:shd w:val="clear" w:color="auto" w:fill="auto"/>
            <w:noWrap/>
            <w:vAlign w:val="bottom"/>
            <w:hideMark/>
          </w:tcPr>
          <w:p w:rsidR="00067238" w:rsidRPr="00D91FA0" w:rsidRDefault="00067238" w:rsidP="00067238">
            <w:pPr>
              <w:spacing w:line="240" w:lineRule="auto"/>
              <w:ind w:firstLine="0"/>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7.</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Increase in resubmitting claims</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371CB6" w:rsidP="00D91FA0">
            <w:pPr>
              <w:spacing w:line="240" w:lineRule="auto"/>
              <w:ind w:firstLine="0"/>
              <w:jc w:val="center"/>
              <w:rPr>
                <w:rFonts w:ascii="Times" w:eastAsia="Times New Roman" w:hAnsi="Times" w:cs="Times New Roman"/>
                <w:kern w:val="0"/>
                <w:sz w:val="20"/>
                <w:szCs w:val="20"/>
                <w:lang w:eastAsia="en-US"/>
              </w:rPr>
            </w:pPr>
            <w:r>
              <w:rPr>
                <w:rFonts w:ascii="Times" w:eastAsia="Times New Roman" w:hAnsi="Times" w:cs="Times New Roman"/>
                <w:kern w:val="0"/>
                <w:sz w:val="20"/>
                <w:szCs w:val="20"/>
                <w:lang w:eastAsia="en-US"/>
              </w:rPr>
              <w:t>0.08</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0.06</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8.</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Overcrowding in the ER</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Times New Roman" w:eastAsia="Times,Times New Roman" w:hAnsi="Times,Times New Roman" w:cs="Times,Times New Roman"/>
                <w:kern w:val="0"/>
                <w:sz w:val="20"/>
                <w:szCs w:val="20"/>
                <w:lang w:eastAsia="en-US"/>
              </w:rPr>
              <w:t>0.02</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0.09</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9.</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Time management</w:t>
            </w:r>
          </w:p>
        </w:tc>
        <w:tc>
          <w:tcPr>
            <w:tcW w:w="839"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794" w:type="dxa"/>
            <w:tcBorders>
              <w:top w:val="nil"/>
              <w:left w:val="nil"/>
              <w:bottom w:val="nil"/>
              <w:right w:val="nil"/>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w:t>
            </w:r>
          </w:p>
        </w:tc>
        <w:tc>
          <w:tcPr>
            <w:tcW w:w="1420" w:type="dxa"/>
            <w:tcBorders>
              <w:top w:val="nil"/>
              <w:left w:val="single" w:sz="4" w:space="0" w:color="auto"/>
              <w:bottom w:val="nil"/>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0.03</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808080"/>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10.</w:t>
            </w:r>
          </w:p>
        </w:tc>
        <w:tc>
          <w:tcPr>
            <w:tcW w:w="5260" w:type="dxa"/>
            <w:tcBorders>
              <w:top w:val="nil"/>
              <w:left w:val="nil"/>
              <w:bottom w:val="nil"/>
              <w:right w:val="nil"/>
            </w:tcBorders>
            <w:shd w:val="clear" w:color="auto" w:fill="F2F2F2"/>
            <w:vAlign w:val="center"/>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Patient satisfaction</w:t>
            </w:r>
          </w:p>
        </w:tc>
        <w:tc>
          <w:tcPr>
            <w:tcW w:w="839" w:type="dxa"/>
            <w:tcBorders>
              <w:top w:val="nil"/>
              <w:left w:val="single" w:sz="4" w:space="0" w:color="auto"/>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0.10</w:t>
            </w:r>
          </w:p>
        </w:tc>
        <w:tc>
          <w:tcPr>
            <w:tcW w:w="794" w:type="dxa"/>
            <w:tcBorders>
              <w:top w:val="nil"/>
              <w:left w:val="nil"/>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2</w:t>
            </w:r>
          </w:p>
        </w:tc>
        <w:tc>
          <w:tcPr>
            <w:tcW w:w="1420" w:type="dxa"/>
            <w:tcBorders>
              <w:top w:val="nil"/>
              <w:left w:val="nil"/>
              <w:bottom w:val="single" w:sz="4" w:space="0" w:color="auto"/>
              <w:right w:val="single" w:sz="4" w:space="0" w:color="auto"/>
            </w:tcBorders>
            <w:shd w:val="clear" w:color="auto" w:fill="F2F2F2"/>
            <w:noWrap/>
            <w:vAlign w:val="center"/>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0.20</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jc w:val="center"/>
              <w:rPr>
                <w:rFonts w:ascii="Times" w:eastAsia="Times New Roman" w:hAnsi="Times"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5260"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TOTALS</w:t>
            </w:r>
          </w:p>
        </w:tc>
        <w:tc>
          <w:tcPr>
            <w:tcW w:w="839" w:type="dxa"/>
            <w:tcBorders>
              <w:top w:val="nil"/>
              <w:left w:val="nil"/>
              <w:bottom w:val="nil"/>
              <w:right w:val="nil"/>
            </w:tcBorders>
            <w:shd w:val="clear" w:color="auto" w:fill="C4BD97"/>
            <w:noWrap/>
            <w:vAlign w:val="bottom"/>
            <w:hideMark/>
          </w:tcPr>
          <w:p w:rsidR="00D91FA0" w:rsidRPr="00D91FA0" w:rsidRDefault="00371CB6" w:rsidP="00D91FA0">
            <w:pPr>
              <w:spacing w:line="240" w:lineRule="auto"/>
              <w:ind w:firstLine="0"/>
              <w:jc w:val="center"/>
              <w:rPr>
                <w:rFonts w:ascii="Times" w:eastAsia="Times New Roman" w:hAnsi="Times" w:cs="Times New Roman"/>
                <w:b/>
                <w:bCs/>
                <w:kern w:val="0"/>
                <w:sz w:val="20"/>
                <w:szCs w:val="20"/>
                <w:lang w:eastAsia="en-US"/>
              </w:rPr>
            </w:pPr>
            <w:r>
              <w:rPr>
                <w:rFonts w:ascii="Times" w:eastAsia="Times New Roman" w:hAnsi="Times" w:cs="Times New Roman"/>
                <w:b/>
                <w:bCs/>
                <w:kern w:val="0"/>
                <w:sz w:val="20"/>
                <w:szCs w:val="20"/>
                <w:lang w:eastAsia="en-US"/>
              </w:rPr>
              <w:t>1.00</w:t>
            </w:r>
          </w:p>
        </w:tc>
        <w:tc>
          <w:tcPr>
            <w:tcW w:w="794"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rPr>
                <w:rFonts w:ascii="Times" w:eastAsia="Times New Roman" w:hAnsi="Times" w:cs="Times New Roman"/>
                <w:kern w:val="0"/>
                <w:sz w:val="20"/>
                <w:szCs w:val="20"/>
                <w:lang w:eastAsia="en-US"/>
              </w:rPr>
            </w:pPr>
            <w:r w:rsidRPr="00D91FA0">
              <w:rPr>
                <w:rFonts w:ascii="Times" w:eastAsia="Times New Roman" w:hAnsi="Times" w:cs="Times New Roman"/>
                <w:kern w:val="0"/>
                <w:sz w:val="20"/>
                <w:szCs w:val="20"/>
                <w:lang w:eastAsia="en-US"/>
              </w:rPr>
              <w:t> </w:t>
            </w:r>
          </w:p>
        </w:tc>
        <w:tc>
          <w:tcPr>
            <w:tcW w:w="1420" w:type="dxa"/>
            <w:tcBorders>
              <w:top w:val="nil"/>
              <w:left w:val="nil"/>
              <w:bottom w:val="nil"/>
              <w:right w:val="nil"/>
            </w:tcBorders>
            <w:shd w:val="clear" w:color="auto" w:fill="C4BD97"/>
            <w:noWrap/>
            <w:vAlign w:val="bottom"/>
            <w:hideMark/>
          </w:tcPr>
          <w:p w:rsidR="00D91FA0" w:rsidRPr="00D91FA0" w:rsidRDefault="00D91FA0" w:rsidP="00D91FA0">
            <w:pPr>
              <w:spacing w:line="240" w:lineRule="auto"/>
              <w:ind w:firstLine="0"/>
              <w:jc w:val="center"/>
              <w:rPr>
                <w:rFonts w:ascii="Times" w:eastAsia="Times New Roman" w:hAnsi="Times" w:cs="Times New Roman"/>
                <w:b/>
                <w:bCs/>
                <w:kern w:val="0"/>
                <w:sz w:val="20"/>
                <w:szCs w:val="20"/>
                <w:lang w:eastAsia="en-US"/>
              </w:rPr>
            </w:pPr>
            <w:r w:rsidRPr="00D91FA0">
              <w:rPr>
                <w:rFonts w:ascii="Times" w:eastAsia="Times New Roman" w:hAnsi="Times" w:cs="Times New Roman"/>
                <w:b/>
                <w:bCs/>
                <w:kern w:val="0"/>
                <w:sz w:val="20"/>
                <w:szCs w:val="20"/>
                <w:lang w:eastAsia="en-US"/>
              </w:rPr>
              <w:t>1.84</w:t>
            </w:r>
          </w:p>
        </w:tc>
        <w:tc>
          <w:tcPr>
            <w:tcW w:w="1320" w:type="dxa"/>
            <w:tcBorders>
              <w:top w:val="nil"/>
              <w:left w:val="nil"/>
              <w:bottom w:val="nil"/>
              <w:right w:val="nil"/>
            </w:tcBorders>
            <w:shd w:val="clear" w:color="auto" w:fill="auto"/>
            <w:noWrap/>
            <w:vAlign w:val="bottom"/>
            <w:hideMark/>
          </w:tcPr>
          <w:p w:rsidR="002368F5" w:rsidRPr="00D91FA0" w:rsidRDefault="002368F5" w:rsidP="00B3612B">
            <w:pPr>
              <w:spacing w:line="240" w:lineRule="auto"/>
              <w:ind w:firstLine="0"/>
              <w:rPr>
                <w:rFonts w:ascii="Times" w:eastAsia="Times New Roman" w:hAnsi="Times" w:cs="Times New Roman"/>
                <w:b/>
                <w:bCs/>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auto"/>
            <w:noWrap/>
            <w:vAlign w:val="bottom"/>
            <w:hideMark/>
          </w:tcPr>
          <w:p w:rsidR="00D91FA0" w:rsidRDefault="00D91FA0" w:rsidP="00D91FA0">
            <w:pPr>
              <w:spacing w:line="240" w:lineRule="auto"/>
              <w:ind w:firstLine="0"/>
              <w:rPr>
                <w:rFonts w:ascii="Times New Roman" w:eastAsia="Times New Roman" w:hAnsi="Times New Roman" w:cs="Times New Roman"/>
                <w:kern w:val="0"/>
                <w:sz w:val="20"/>
                <w:szCs w:val="20"/>
                <w:lang w:eastAsia="en-US"/>
              </w:rPr>
            </w:pPr>
          </w:p>
          <w:p w:rsidR="00BA15FF" w:rsidRDefault="00BA15FF" w:rsidP="00D91FA0">
            <w:pPr>
              <w:spacing w:line="240" w:lineRule="auto"/>
              <w:ind w:firstLine="0"/>
              <w:rPr>
                <w:rFonts w:ascii="Times New Roman" w:eastAsia="Times New Roman" w:hAnsi="Times New Roman" w:cs="Times New Roman"/>
                <w:kern w:val="0"/>
                <w:sz w:val="20"/>
                <w:szCs w:val="20"/>
                <w:lang w:eastAsia="en-US"/>
              </w:rPr>
            </w:pPr>
          </w:p>
          <w:p w:rsidR="00BA15FF" w:rsidRDefault="00BA15FF" w:rsidP="00D91FA0">
            <w:pPr>
              <w:spacing w:line="240" w:lineRule="auto"/>
              <w:ind w:firstLine="0"/>
              <w:rPr>
                <w:rFonts w:ascii="Times New Roman" w:eastAsia="Times New Roman" w:hAnsi="Times New Roman" w:cs="Times New Roman"/>
                <w:kern w:val="0"/>
                <w:sz w:val="20"/>
                <w:szCs w:val="20"/>
                <w:lang w:eastAsia="en-US"/>
              </w:rPr>
            </w:pPr>
          </w:p>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8A3935" w:rsidRDefault="008A3935" w:rsidP="00067238">
            <w:pPr>
              <w:spacing w:line="240" w:lineRule="auto"/>
              <w:ind w:firstLine="0"/>
              <w:rPr>
                <w:rFonts w:ascii="Times New Roman" w:eastAsia="Times New Roman" w:hAnsi="Times New Roman" w:cs="Times New Roman"/>
                <w:kern w:val="0"/>
                <w:lang w:eastAsia="en-US"/>
              </w:rPr>
            </w:pPr>
          </w:p>
          <w:p w:rsidR="00BA15FF" w:rsidRPr="008A3935" w:rsidRDefault="00BA15FF" w:rsidP="00BA15FF">
            <w:pPr>
              <w:ind w:firstLine="0"/>
              <w:rPr>
                <w:rFonts w:ascii="Times New Roman" w:eastAsia="Times New Roman" w:hAnsi="Times New Roman" w:cs="Times New Roman"/>
                <w:kern w:val="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Default="00D91FA0" w:rsidP="00D91FA0">
            <w:pPr>
              <w:spacing w:line="240" w:lineRule="auto"/>
              <w:ind w:firstLine="0"/>
              <w:rPr>
                <w:rFonts w:ascii="Times New Roman" w:eastAsia="Times New Roman" w:hAnsi="Times New Roman" w:cs="Times New Roman"/>
                <w:kern w:val="0"/>
                <w:sz w:val="20"/>
                <w:szCs w:val="20"/>
                <w:lang w:eastAsia="en-US"/>
              </w:rPr>
            </w:pPr>
          </w:p>
          <w:p w:rsidR="0042362C" w:rsidRDefault="0042362C" w:rsidP="00D91FA0">
            <w:pPr>
              <w:spacing w:line="240" w:lineRule="auto"/>
              <w:ind w:firstLine="0"/>
              <w:rPr>
                <w:rFonts w:ascii="Times New Roman" w:eastAsia="Times New Roman" w:hAnsi="Times New Roman" w:cs="Times New Roman"/>
                <w:kern w:val="0"/>
                <w:sz w:val="20"/>
                <w:szCs w:val="20"/>
                <w:lang w:eastAsia="en-US"/>
              </w:rPr>
            </w:pPr>
          </w:p>
          <w:p w:rsidR="00067238" w:rsidRDefault="00067238" w:rsidP="00D91FA0">
            <w:pPr>
              <w:spacing w:line="240" w:lineRule="auto"/>
              <w:ind w:firstLine="0"/>
              <w:rPr>
                <w:rFonts w:ascii="Times New Roman" w:eastAsia="Times New Roman" w:hAnsi="Times New Roman" w:cs="Times New Roman"/>
                <w:kern w:val="0"/>
                <w:sz w:val="20"/>
                <w:szCs w:val="20"/>
                <w:lang w:eastAsia="en-US"/>
              </w:rPr>
            </w:pPr>
          </w:p>
          <w:p w:rsidR="00067238" w:rsidRDefault="00067238" w:rsidP="00D91FA0">
            <w:pPr>
              <w:spacing w:line="240" w:lineRule="auto"/>
              <w:ind w:firstLine="0"/>
              <w:rPr>
                <w:rFonts w:ascii="Times New Roman" w:eastAsia="Times New Roman" w:hAnsi="Times New Roman" w:cs="Times New Roman"/>
                <w:kern w:val="0"/>
                <w:sz w:val="20"/>
                <w:szCs w:val="20"/>
                <w:lang w:eastAsia="en-US"/>
              </w:rPr>
            </w:pPr>
          </w:p>
          <w:p w:rsidR="0042362C" w:rsidRDefault="0042362C" w:rsidP="00D91FA0">
            <w:pPr>
              <w:spacing w:line="240" w:lineRule="auto"/>
              <w:ind w:firstLine="0"/>
              <w:rPr>
                <w:rFonts w:ascii="Times New Roman" w:eastAsia="Times New Roman" w:hAnsi="Times New Roman" w:cs="Times New Roman"/>
                <w:kern w:val="0"/>
                <w:sz w:val="20"/>
                <w:szCs w:val="20"/>
                <w:lang w:eastAsia="en-US"/>
              </w:rPr>
            </w:pPr>
          </w:p>
          <w:p w:rsidR="002368F5" w:rsidRPr="002368F5" w:rsidRDefault="002368F5" w:rsidP="00D91FA0">
            <w:pPr>
              <w:spacing w:line="240" w:lineRule="auto"/>
              <w:ind w:firstLine="0"/>
              <w:rPr>
                <w:rFonts w:ascii="Times New Roman" w:eastAsia="Times New Roman" w:hAnsi="Times New Roman" w:cs="Times New Roman"/>
                <w:kern w:val="0"/>
                <w:sz w:val="22"/>
                <w:szCs w:val="22"/>
                <w:lang w:eastAsia="en-US"/>
              </w:rPr>
            </w:pPr>
            <w:r>
              <w:rPr>
                <w:rFonts w:ascii="Times New Roman" w:eastAsia="Times New Roman" w:hAnsi="Times New Roman" w:cs="Times New Roman"/>
                <w:kern w:val="0"/>
                <w:sz w:val="22"/>
                <w:szCs w:val="22"/>
                <w:lang w:eastAsia="en-US"/>
              </w:rPr>
              <w:t xml:space="preserve">  </w:t>
            </w: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BA15FF" w:rsidRPr="00D91FA0" w:rsidTr="00BA15FF">
        <w:trPr>
          <w:trHeight w:val="255"/>
        </w:trPr>
        <w:tc>
          <w:tcPr>
            <w:tcW w:w="1925" w:type="dxa"/>
            <w:tcBorders>
              <w:top w:val="nil"/>
              <w:left w:val="nil"/>
              <w:bottom w:val="nil"/>
              <w:right w:val="nil"/>
            </w:tcBorders>
            <w:shd w:val="clear" w:color="auto" w:fill="auto"/>
            <w:noWrap/>
            <w:vAlign w:val="bottom"/>
          </w:tcPr>
          <w:p w:rsidR="00BA15FF"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BA15FF" w:rsidRPr="00E8600D" w:rsidRDefault="00BA15FF" w:rsidP="00067238">
            <w:pPr>
              <w:spacing w:line="240" w:lineRule="auto"/>
              <w:ind w:firstLine="0"/>
              <w:rPr>
                <w:rFonts w:ascii="Corbel" w:hAnsi="Corbel"/>
                <w:b/>
                <w:bCs/>
                <w:color w:val="323232"/>
                <w:lang w:val="en"/>
              </w:rPr>
            </w:pPr>
          </w:p>
        </w:tc>
        <w:tc>
          <w:tcPr>
            <w:tcW w:w="839"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r>
      <w:tr w:rsidR="00BA15FF" w:rsidRPr="00D91FA0" w:rsidTr="00BA15FF">
        <w:trPr>
          <w:trHeight w:val="255"/>
        </w:trPr>
        <w:tc>
          <w:tcPr>
            <w:tcW w:w="1925" w:type="dxa"/>
            <w:tcBorders>
              <w:top w:val="nil"/>
              <w:left w:val="nil"/>
              <w:bottom w:val="nil"/>
              <w:right w:val="nil"/>
            </w:tcBorders>
            <w:shd w:val="clear" w:color="auto" w:fill="auto"/>
            <w:noWrap/>
            <w:vAlign w:val="bottom"/>
          </w:tcPr>
          <w:p w:rsidR="00BA15FF"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BA15FF" w:rsidRPr="00E8600D" w:rsidRDefault="00BA15FF" w:rsidP="00067238">
            <w:pPr>
              <w:spacing w:line="240" w:lineRule="auto"/>
              <w:ind w:firstLine="0"/>
              <w:rPr>
                <w:rFonts w:ascii="Corbel" w:hAnsi="Corbel"/>
                <w:b/>
                <w:bCs/>
                <w:color w:val="323232"/>
                <w:lang w:val="en"/>
              </w:rPr>
            </w:pPr>
          </w:p>
        </w:tc>
        <w:tc>
          <w:tcPr>
            <w:tcW w:w="839"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A15FF" w:rsidRPr="00D91FA0" w:rsidRDefault="00BA15FF" w:rsidP="00D91FA0">
            <w:pPr>
              <w:spacing w:line="240" w:lineRule="auto"/>
              <w:ind w:firstLine="0"/>
              <w:rPr>
                <w:rFonts w:ascii="Times New Roman" w:eastAsia="Times New Roman" w:hAnsi="Times New Roman" w:cs="Times New Roman"/>
                <w:kern w:val="0"/>
                <w:sz w:val="20"/>
                <w:szCs w:val="20"/>
                <w:lang w:eastAsia="en-US"/>
              </w:rPr>
            </w:pPr>
          </w:p>
        </w:tc>
      </w:tr>
      <w:tr w:rsidR="002368F5" w:rsidRPr="00D91FA0" w:rsidTr="00BA15FF">
        <w:trPr>
          <w:trHeight w:val="255"/>
        </w:trPr>
        <w:tc>
          <w:tcPr>
            <w:tcW w:w="1925"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r>
      <w:tr w:rsidR="002368F5" w:rsidRPr="00D91FA0" w:rsidTr="00BA15FF">
        <w:trPr>
          <w:trHeight w:val="255"/>
        </w:trPr>
        <w:tc>
          <w:tcPr>
            <w:tcW w:w="1925"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2368F5" w:rsidRPr="00D91FA0" w:rsidRDefault="002368F5"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522"/>
        </w:trPr>
        <w:tc>
          <w:tcPr>
            <w:tcW w:w="1925"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067238" w:rsidRPr="008A3935" w:rsidRDefault="00067238" w:rsidP="00D91FA0">
            <w:pPr>
              <w:spacing w:line="240" w:lineRule="auto"/>
              <w:ind w:firstLine="0"/>
              <w:rPr>
                <w:rFonts w:ascii="Times New Roman" w:eastAsia="Times New Roman" w:hAnsi="Times New Roman" w:cs="Times New Roman"/>
                <w:kern w:val="0"/>
                <w:lang w:eastAsia="en-US"/>
              </w:rPr>
            </w:pPr>
          </w:p>
        </w:tc>
        <w:tc>
          <w:tcPr>
            <w:tcW w:w="839"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B3612B" w:rsidRPr="00D91FA0" w:rsidRDefault="00B3612B"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r w:rsidR="00D91FA0" w:rsidRPr="00D91FA0" w:rsidTr="00BA15FF">
        <w:trPr>
          <w:trHeight w:val="255"/>
        </w:trPr>
        <w:tc>
          <w:tcPr>
            <w:tcW w:w="1925" w:type="dxa"/>
            <w:tcBorders>
              <w:top w:val="nil"/>
              <w:left w:val="nil"/>
              <w:bottom w:val="nil"/>
              <w:right w:val="nil"/>
            </w:tcBorders>
            <w:shd w:val="clear" w:color="auto" w:fill="auto"/>
            <w:noWrap/>
            <w:vAlign w:val="bottom"/>
          </w:tcPr>
          <w:p w:rsidR="00D91FA0" w:rsidRDefault="00D91FA0" w:rsidP="00D91FA0">
            <w:pPr>
              <w:spacing w:line="240" w:lineRule="auto"/>
              <w:ind w:firstLine="0"/>
              <w:rPr>
                <w:rFonts w:ascii="Times New Roman" w:eastAsia="Times New Roman" w:hAnsi="Times New Roman" w:cs="Times New Roman"/>
                <w:kern w:val="0"/>
                <w:sz w:val="20"/>
                <w:szCs w:val="20"/>
                <w:lang w:eastAsia="en-US"/>
              </w:rPr>
            </w:pPr>
          </w:p>
          <w:p w:rsidR="00C44C7F" w:rsidRDefault="00C44C7F" w:rsidP="00D91FA0">
            <w:pPr>
              <w:spacing w:line="240" w:lineRule="auto"/>
              <w:ind w:firstLine="0"/>
              <w:rPr>
                <w:rFonts w:ascii="Times New Roman" w:eastAsia="Times New Roman" w:hAnsi="Times New Roman" w:cs="Times New Roman"/>
                <w:kern w:val="0"/>
                <w:sz w:val="20"/>
                <w:szCs w:val="20"/>
                <w:lang w:eastAsia="en-US"/>
              </w:rPr>
            </w:pPr>
          </w:p>
          <w:p w:rsidR="00C44C7F" w:rsidRDefault="00C44C7F" w:rsidP="00D91FA0">
            <w:pPr>
              <w:spacing w:line="240" w:lineRule="auto"/>
              <w:ind w:firstLine="0"/>
              <w:rPr>
                <w:rFonts w:ascii="Times New Roman" w:eastAsia="Times New Roman" w:hAnsi="Times New Roman" w:cs="Times New Roman"/>
                <w:kern w:val="0"/>
                <w:sz w:val="20"/>
                <w:szCs w:val="20"/>
                <w:lang w:eastAsia="en-US"/>
              </w:rPr>
            </w:pPr>
          </w:p>
          <w:p w:rsidR="00C44C7F" w:rsidRDefault="00C44C7F" w:rsidP="00D91FA0">
            <w:pPr>
              <w:spacing w:line="240" w:lineRule="auto"/>
              <w:ind w:firstLine="0"/>
              <w:rPr>
                <w:rFonts w:ascii="Times New Roman" w:eastAsia="Times New Roman" w:hAnsi="Times New Roman" w:cs="Times New Roman"/>
                <w:kern w:val="0"/>
                <w:sz w:val="20"/>
                <w:szCs w:val="20"/>
                <w:lang w:eastAsia="en-US"/>
              </w:rPr>
            </w:pPr>
          </w:p>
          <w:p w:rsidR="00C44C7F" w:rsidRDefault="00C44C7F" w:rsidP="00D91FA0">
            <w:pPr>
              <w:spacing w:line="240" w:lineRule="auto"/>
              <w:ind w:firstLine="0"/>
              <w:rPr>
                <w:rFonts w:ascii="Times New Roman" w:eastAsia="Times New Roman" w:hAnsi="Times New Roman" w:cs="Times New Roman"/>
                <w:kern w:val="0"/>
                <w:sz w:val="20"/>
                <w:szCs w:val="20"/>
                <w:lang w:eastAsia="en-US"/>
              </w:rPr>
            </w:pPr>
          </w:p>
          <w:p w:rsidR="00C44C7F" w:rsidRDefault="00C44C7F" w:rsidP="00D91FA0">
            <w:pPr>
              <w:spacing w:line="240" w:lineRule="auto"/>
              <w:ind w:firstLine="0"/>
              <w:rPr>
                <w:rFonts w:ascii="Times New Roman" w:eastAsia="Times New Roman" w:hAnsi="Times New Roman" w:cs="Times New Roman"/>
                <w:kern w:val="0"/>
                <w:sz w:val="20"/>
                <w:szCs w:val="20"/>
                <w:lang w:eastAsia="en-US"/>
              </w:rPr>
            </w:pPr>
          </w:p>
          <w:p w:rsidR="00C44C7F" w:rsidRPr="00D91FA0" w:rsidRDefault="00C44C7F" w:rsidP="00D91FA0">
            <w:pPr>
              <w:spacing w:line="240" w:lineRule="auto"/>
              <w:ind w:firstLine="0"/>
              <w:rPr>
                <w:rFonts w:ascii="Times New Roman" w:eastAsia="Times New Roman" w:hAnsi="Times New Roman" w:cs="Times New Roman"/>
                <w:kern w:val="0"/>
                <w:sz w:val="20"/>
                <w:szCs w:val="20"/>
                <w:lang w:eastAsia="en-US"/>
              </w:rPr>
            </w:pPr>
          </w:p>
        </w:tc>
        <w:tc>
          <w:tcPr>
            <w:tcW w:w="5260" w:type="dxa"/>
            <w:tcBorders>
              <w:top w:val="nil"/>
              <w:left w:val="nil"/>
              <w:bottom w:val="nil"/>
              <w:right w:val="nil"/>
            </w:tcBorders>
            <w:shd w:val="clear" w:color="auto" w:fill="auto"/>
            <w:noWrap/>
            <w:vAlign w:val="bottom"/>
          </w:tcPr>
          <w:p w:rsidR="00067238" w:rsidRPr="00D91FA0" w:rsidRDefault="00067238" w:rsidP="00D91FA0">
            <w:pPr>
              <w:spacing w:line="240" w:lineRule="auto"/>
              <w:ind w:firstLine="0"/>
              <w:rPr>
                <w:rFonts w:ascii="Times New Roman" w:eastAsia="Times New Roman" w:hAnsi="Times New Roman" w:cs="Times New Roman"/>
                <w:kern w:val="0"/>
                <w:sz w:val="20"/>
                <w:szCs w:val="20"/>
                <w:lang w:eastAsia="en-US"/>
              </w:rPr>
            </w:pPr>
          </w:p>
        </w:tc>
        <w:tc>
          <w:tcPr>
            <w:tcW w:w="839" w:type="dxa"/>
            <w:tcBorders>
              <w:top w:val="nil"/>
              <w:left w:val="nil"/>
              <w:bottom w:val="nil"/>
              <w:right w:val="nil"/>
            </w:tcBorders>
            <w:shd w:val="clear" w:color="auto" w:fill="auto"/>
            <w:noWrap/>
            <w:vAlign w:val="bottom"/>
          </w:tcPr>
          <w:p w:rsidR="00700607" w:rsidRPr="00D91FA0" w:rsidRDefault="00700607" w:rsidP="0042362C">
            <w:pPr>
              <w:spacing w:line="240" w:lineRule="auto"/>
              <w:ind w:firstLine="0"/>
              <w:rPr>
                <w:rFonts w:ascii="Times New Roman" w:eastAsia="Times New Roman" w:hAnsi="Times New Roman" w:cs="Times New Roman"/>
                <w:kern w:val="0"/>
                <w:sz w:val="20"/>
                <w:szCs w:val="20"/>
                <w:lang w:eastAsia="en-US"/>
              </w:rPr>
            </w:pPr>
          </w:p>
        </w:tc>
        <w:tc>
          <w:tcPr>
            <w:tcW w:w="794"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420" w:type="dxa"/>
            <w:tcBorders>
              <w:top w:val="nil"/>
              <w:left w:val="nil"/>
              <w:bottom w:val="nil"/>
              <w:right w:val="nil"/>
            </w:tcBorders>
            <w:shd w:val="clear" w:color="auto" w:fill="auto"/>
            <w:noWrap/>
            <w:vAlign w:val="bottom"/>
          </w:tcPr>
          <w:p w:rsidR="009D14C9" w:rsidRPr="00D91FA0" w:rsidRDefault="009D14C9"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76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c>
          <w:tcPr>
            <w:tcW w:w="1320" w:type="dxa"/>
            <w:tcBorders>
              <w:top w:val="nil"/>
              <w:left w:val="nil"/>
              <w:bottom w:val="nil"/>
              <w:right w:val="nil"/>
            </w:tcBorders>
            <w:shd w:val="clear" w:color="auto" w:fill="auto"/>
            <w:noWrap/>
            <w:vAlign w:val="bottom"/>
            <w:hideMark/>
          </w:tcPr>
          <w:p w:rsidR="00D91FA0" w:rsidRPr="00D91FA0" w:rsidRDefault="00D91FA0" w:rsidP="00D91FA0">
            <w:pPr>
              <w:spacing w:line="240" w:lineRule="auto"/>
              <w:ind w:firstLine="0"/>
              <w:rPr>
                <w:rFonts w:ascii="Times New Roman" w:eastAsia="Times New Roman" w:hAnsi="Times New Roman" w:cs="Times New Roman"/>
                <w:kern w:val="0"/>
                <w:sz w:val="20"/>
                <w:szCs w:val="20"/>
                <w:lang w:eastAsia="en-US"/>
              </w:rPr>
            </w:pPr>
          </w:p>
        </w:tc>
      </w:tr>
    </w:tbl>
    <w:p w:rsidR="00D91FA0" w:rsidRDefault="009D14C9" w:rsidP="00E8600D">
      <w:pPr>
        <w:ind w:firstLine="0"/>
      </w:pPr>
      <w:r w:rsidRPr="009D14C9">
        <w:rPr>
          <w:rFonts w:ascii="Calibri" w:eastAsia="Calibri" w:hAnsi="Calibri" w:cs="Times New Roman"/>
          <w:noProof/>
          <w:kern w:val="0"/>
          <w:sz w:val="22"/>
          <w:szCs w:val="22"/>
          <w:lang w:eastAsia="en-US"/>
        </w:rPr>
        <w:drawing>
          <wp:inline distT="0" distB="0" distL="0" distR="0" wp14:anchorId="526A93DF" wp14:editId="5DB7BA3C">
            <wp:extent cx="5876014" cy="48488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863" cy="4880093"/>
                    </a:xfrm>
                    <a:prstGeom prst="rect">
                      <a:avLst/>
                    </a:prstGeom>
                    <a:noFill/>
                    <a:ln>
                      <a:noFill/>
                    </a:ln>
                  </pic:spPr>
                </pic:pic>
              </a:graphicData>
            </a:graphic>
          </wp:inline>
        </w:drawing>
      </w:r>
    </w:p>
    <w:p w:rsidR="00C44C7F" w:rsidRDefault="00C44C7F" w:rsidP="00E8600D">
      <w:pPr>
        <w:ind w:firstLine="0"/>
      </w:pPr>
    </w:p>
    <w:p w:rsidR="00A46B2A" w:rsidRPr="00A46B2A" w:rsidRDefault="00A46B2A" w:rsidP="00A46B2A">
      <w:r w:rsidRPr="00A46B2A">
        <w:t>There are many factors that determine the success or failure of a healthcare business or professional practice in today's dynamic regulatory, reimbursement, and competitive environment. One of the most important of these factors is management’s ability to react to changes by making timely, informed decisions regarding the organization’s operational direction and financial performance. Among the most useful management tools available to achieve this objective are benchmarking, a well-established financial analysis process</w:t>
      </w:r>
      <w:r>
        <w:t xml:space="preserve"> (</w:t>
      </w:r>
      <w:r w:rsidRPr="00A46B2A">
        <w:t>Cimasi</w:t>
      </w:r>
      <w:r>
        <w:t>, R (2004).)</w:t>
      </w:r>
      <w:r w:rsidRPr="00A46B2A">
        <w:t xml:space="preserve">. </w:t>
      </w:r>
    </w:p>
    <w:p w:rsidR="00ED0233" w:rsidRPr="00ED0233" w:rsidRDefault="00ED0233" w:rsidP="00ED0233">
      <w:r w:rsidRPr="00ED0233">
        <w:t>Healthcare industry survey benchmarking data may be obtained from several publicly available sources, enabling an analyst to compare detailed financial, operational, and clinical performance with similar peer group data. The survey data should be as current as possible. Publication delays of a year or more are not uncommon, so it’s easy to mismatch data from different years, diminishing the efficacy and applicability of the analysis to current and projected future operations. This is particularly true for medical practices because year-to-year changes can be significant and material in a rapidly changing reimbursement and regulatory environment</w:t>
      </w:r>
      <w:r>
        <w:t xml:space="preserve"> (Cimasi, R (2004).)</w:t>
      </w:r>
      <w:r w:rsidRPr="00ED0233">
        <w:t xml:space="preserve">. </w:t>
      </w:r>
    </w:p>
    <w:p w:rsidR="00A46B2A" w:rsidRDefault="00A46B2A" w:rsidP="00E8600D">
      <w:pPr>
        <w:ind w:firstLine="0"/>
      </w:pPr>
    </w:p>
    <w:p w:rsidR="00945100" w:rsidRDefault="00945100" w:rsidP="00A42A7F"/>
    <w:p w:rsidR="002368F5" w:rsidRDefault="00CC783A" w:rsidP="00A42A7F">
      <w:r w:rsidRPr="00CC783A">
        <w:t>Even though non-profit hospitals have faced rising charity care costs and a generally tough operating atmosphere over the past several years, hospitals are still reporting strong operating and leverage ratios</w:t>
      </w:r>
      <w:r>
        <w:t xml:space="preserve"> (Herman, Bob, 2013</w:t>
      </w:r>
      <w:r w:rsidR="00F82A9A">
        <w:t xml:space="preserve">). </w:t>
      </w:r>
      <w:r w:rsidRPr="00CC783A">
        <w:t>On the trailing twelve months basis Current Liabilities</w:t>
      </w:r>
      <w:r>
        <w:t xml:space="preserve"> Novant as</w:t>
      </w:r>
      <w:r w:rsidRPr="00CC783A">
        <w:t xml:space="preserve"> decreased faster than </w:t>
      </w:r>
      <w:r>
        <w:t xml:space="preserve">the </w:t>
      </w:r>
      <w:r w:rsidRPr="00CC783A">
        <w:t>Industry's Current Assets, this led to improvement in Industry'</w:t>
      </w:r>
      <w:r>
        <w:t xml:space="preserve">s Working Capital Ratio to </w:t>
      </w:r>
      <w:r w:rsidR="00C17E9B">
        <w:t>1.58</w:t>
      </w:r>
      <w:r w:rsidR="00C17E9B" w:rsidRPr="00CC783A">
        <w:t>;</w:t>
      </w:r>
      <w:r w:rsidRPr="00CC783A">
        <w:t xml:space="preserve"> Working Capital Ratio remained below </w:t>
      </w:r>
      <w:r>
        <w:t xml:space="preserve">Healthcare Facilities Industry </w:t>
      </w:r>
      <w:r w:rsidRPr="00CC783A">
        <w:t>average.</w:t>
      </w:r>
      <w:r>
        <w:t xml:space="preserve"> </w:t>
      </w:r>
      <w:r w:rsidRPr="00CC783A">
        <w:t>Within Healthcare sector 3 other industries have achieved higher Working Capital Ratio. Working Capital Ratio total ranking has improved to 31, from total ranking in previous quarter at 39.</w:t>
      </w:r>
    </w:p>
    <w:p w:rsidR="00945100" w:rsidRDefault="00945100" w:rsidP="00A42A7F"/>
    <w:p w:rsidR="00CC783A" w:rsidRDefault="00CC783A" w:rsidP="00A42A7F"/>
    <w:p w:rsidR="00945100" w:rsidRDefault="00945100" w:rsidP="00A42A7F">
      <w:r w:rsidRPr="00945100">
        <w:t xml:space="preserve">Based on the financial ratios Novant Health is in a solid position with their total asset. They are doing a fair job converting revenue </w:t>
      </w:r>
      <w:r w:rsidR="00C17E9B" w:rsidRPr="00945100">
        <w:t>into profits</w:t>
      </w:r>
      <w:r w:rsidRPr="00945100">
        <w:t xml:space="preserve">. </w:t>
      </w:r>
      <w:r w:rsidR="00C17E9B" w:rsidRPr="00945100">
        <w:t>Which will give them leverage if Novant want to pursue over option in the medical field?</w:t>
      </w:r>
      <w:r w:rsidRPr="00945100">
        <w:t xml:space="preserve"> They would have the capability to gather up funds to make improvement on old facility, purchase new facility and give out pay raise to their employee’s.</w:t>
      </w:r>
    </w:p>
    <w:p w:rsidR="009A16CC" w:rsidRDefault="009A16CC" w:rsidP="00A42A7F"/>
    <w:p w:rsidR="002372FB" w:rsidRDefault="002372FB" w:rsidP="00067238">
      <w:r>
        <w:t xml:space="preserve">Novant Health should revised their mission from </w:t>
      </w:r>
      <w:r w:rsidRPr="002372FB">
        <w:t>Novant Health exists to improve the health of our communities, one person at a time</w:t>
      </w:r>
      <w:r>
        <w:t>. Novant Health is committed to collaborating</w:t>
      </w:r>
    </w:p>
    <w:p w:rsidR="0019673E" w:rsidRDefault="002372FB" w:rsidP="002372FB">
      <w:pPr>
        <w:ind w:firstLine="0"/>
      </w:pPr>
      <w:r>
        <w:t>with  community  partners  to  improve  the  health  status  of  community residents, address root causes of health disparities, and educate community members around prevention and self-care”. All healthcare facilities should work on making the mission statement more visible and available to the public.</w:t>
      </w:r>
    </w:p>
    <w:p w:rsidR="00686216" w:rsidRDefault="00686216" w:rsidP="002372FB">
      <w:pPr>
        <w:ind w:firstLine="0"/>
      </w:pPr>
    </w:p>
    <w:p w:rsidR="00686216" w:rsidRDefault="00686216" w:rsidP="00686216">
      <w:r>
        <w:t xml:space="preserve">Create “healthy community” demonstrations to evaluate the effects of a full complement of health-promoting policies and programs.  Demonstrations should integrate and develop successful models that can be widely implemented and that include multiple program approaches and sources of financial support. Each “healthy community” demonstration must bring together leaders and stakeholders from business, </w:t>
      </w:r>
      <w:r w:rsidR="00ED0233">
        <w:t>government;</w:t>
      </w:r>
      <w:r w:rsidR="00AF6C91">
        <w:t xml:space="preserve"> health care and nonprofit</w:t>
      </w:r>
      <w:r>
        <w:t xml:space="preserve"> sectors to work together to </w:t>
      </w:r>
      <w:r w:rsidR="006C5F1A">
        <w:t>plan</w:t>
      </w:r>
      <w:r>
        <w:t xml:space="preserve"> implement and show the impact of the project on the</w:t>
      </w:r>
      <w:r w:rsidR="00AF6C91">
        <w:t xml:space="preserve"> health </w:t>
      </w:r>
      <w:r>
        <w:t xml:space="preserve">of the community (Wood, Robert).  </w:t>
      </w:r>
    </w:p>
    <w:p w:rsidR="00AF6C91" w:rsidRDefault="00AF6C91" w:rsidP="00686216"/>
    <w:p w:rsidR="00AF6C91" w:rsidRDefault="00AF6C91" w:rsidP="00C17E9B">
      <w:r>
        <w:t>A healthy community is one where people have good physical and emotional health. But this is more than just the absence of illness.  A healthy community promotes well-being and offers a high quality of life.  Healthy communities can be measured along five dimensions which contribute significantly to people’s abili</w:t>
      </w:r>
      <w:r w:rsidR="00C17E9B">
        <w:t>ty to thrive (Bruce 2011). Here are</w:t>
      </w:r>
      <w:r>
        <w:t xml:space="preserve"> five dimensions includes Social Networks, Physical Assents, Economic Opportunit</w:t>
      </w:r>
      <w:r w:rsidR="00C17E9B">
        <w:t xml:space="preserve">y, Human Development and Local </w:t>
      </w:r>
      <w:r>
        <w:t>Institutions which all plays a vital role in a healthy community.</w:t>
      </w:r>
    </w:p>
    <w:p w:rsidR="00406912" w:rsidRDefault="00406912" w:rsidP="00AF6C91">
      <w:pPr>
        <w:ind w:firstLine="0"/>
      </w:pPr>
    </w:p>
    <w:p w:rsidR="00406912" w:rsidRDefault="00406912" w:rsidP="00406912">
      <w:r>
        <w:t>Healthy Community is a growing team of businesses, organizations, health care professionals and individuals who have united to improve the community’s health, focusing on four nationally recognized health concerns. These health issues affect the community’s quality of life with significant personal, physical and financial consequences for everyone. Read on to learn what you can do to help make it your Healthy Community (N.D).</w:t>
      </w:r>
    </w:p>
    <w:p w:rsidR="00C974D3" w:rsidRDefault="00C974D3" w:rsidP="00406912"/>
    <w:p w:rsidR="00C974D3" w:rsidRDefault="00C974D3" w:rsidP="005B2D53">
      <w:r>
        <w:t xml:space="preserve">Based on the recommendation Novant may want to partner with other North Carolina Government agencies and other health care organization to </w:t>
      </w:r>
      <w:r w:rsidR="005B2D53">
        <w:t xml:space="preserve">promote a “healthy community”. </w:t>
      </w:r>
      <w:r>
        <w:t>This will bring together other leader to help change eating habit within the community. They will set down with Government officials to promote changes within Food Stamps system, so family can only purchase healthy food items. Novant can also help companies to build a strategic plan to allow employees the time to exercise during work hours. Then those employees will go back to the school system to request that these kids by allow more time to exercise during school.</w:t>
      </w:r>
    </w:p>
    <w:p w:rsidR="009C7314" w:rsidRDefault="009C7314" w:rsidP="002372FB">
      <w:pPr>
        <w:ind w:firstLine="0"/>
      </w:pPr>
    </w:p>
    <w:sdt>
      <w:sdtPr>
        <w:rPr>
          <w:rFonts w:asciiTheme="minorHAnsi" w:eastAsiaTheme="minorEastAsia" w:hAnsiTheme="minorHAnsi" w:cstheme="minorBidi"/>
        </w:rPr>
        <w:id w:val="62297111"/>
        <w:docPartObj>
          <w:docPartGallery w:val="Bibliographies"/>
          <w:docPartUnique/>
        </w:docPartObj>
      </w:sdtPr>
      <w:sdtEndPr/>
      <w:sdtContent>
        <w:p w:rsidR="0019673E" w:rsidRDefault="00D91FA0">
          <w:pPr>
            <w:pStyle w:val="SectionTitle"/>
          </w:pPr>
          <w:r>
            <w:t>References</w:t>
          </w:r>
        </w:p>
        <w:p w:rsidR="00067238" w:rsidRDefault="00067238" w:rsidP="00067238">
          <w:pPr>
            <w:ind w:firstLine="0"/>
          </w:pPr>
          <w:r w:rsidRPr="00067238">
            <w:t xml:space="preserve">American Trauma Society </w:t>
          </w:r>
          <w:hyperlink r:id="rId11" w:history="1">
            <w:r w:rsidRPr="00571ABC">
              <w:rPr>
                <w:rStyle w:val="Hyperlink"/>
              </w:rPr>
              <w:t>http://www.amtrauma.org/?page=TraumaLevels</w:t>
            </w:r>
          </w:hyperlink>
        </w:p>
        <w:p w:rsidR="00AE7802" w:rsidRDefault="00AE7802" w:rsidP="00067238">
          <w:pPr>
            <w:ind w:firstLine="0"/>
            <w:rPr>
              <w:rStyle w:val="Hyperlink"/>
            </w:rPr>
          </w:pPr>
          <w:r w:rsidRPr="00AE7802">
            <w:t xml:space="preserve">Bruce April (2011) </w:t>
          </w:r>
          <w:proofErr w:type="gramStart"/>
          <w:r w:rsidR="00BA15FF">
            <w:t>W</w:t>
          </w:r>
          <w:r w:rsidR="00BA15FF" w:rsidRPr="00AE7802">
            <w:t>hat</w:t>
          </w:r>
          <w:proofErr w:type="gramEnd"/>
          <w:r w:rsidRPr="00AE7802">
            <w:t xml:space="preserve"> is a Healthy Community </w:t>
          </w:r>
          <w:hyperlink r:id="rId12" w:history="1">
            <w:r w:rsidRPr="00571ABC">
              <w:rPr>
                <w:rStyle w:val="Hyperlink"/>
              </w:rPr>
              <w:t>http://communitycheer.org/indicators/health/what-is-a-healthy-community/</w:t>
            </w:r>
          </w:hyperlink>
        </w:p>
        <w:p w:rsidR="007A6E98" w:rsidRDefault="007A6E98" w:rsidP="007A6E98">
          <w:pPr>
            <w:ind w:firstLine="0"/>
          </w:pPr>
          <w:r w:rsidRPr="007A6E98">
            <w:t>Cimasi</w:t>
          </w:r>
          <w:r>
            <w:t xml:space="preserve">, R (2004). Financial Benchmarking and Ratio Analysis </w:t>
          </w:r>
        </w:p>
        <w:p w:rsidR="007A6E98" w:rsidRDefault="007A6E98" w:rsidP="007A6E98">
          <w:pPr>
            <w:ind w:firstLine="0"/>
          </w:pPr>
          <w:proofErr w:type="gramStart"/>
          <w:r>
            <w:t>in</w:t>
          </w:r>
          <w:proofErr w:type="gramEnd"/>
          <w:r>
            <w:t xml:space="preserve"> the Health Care Industry. </w:t>
          </w:r>
          <w:r w:rsidRPr="007A6E98">
            <w:t>http://www.cpareport.com/Newsletter%20Articles/2004%20Articles/FinancialBenchmarking_Oct_2004.htm</w:t>
          </w:r>
        </w:p>
        <w:p w:rsidR="00067238" w:rsidRDefault="00067238" w:rsidP="00067238">
          <w:pPr>
            <w:ind w:firstLine="0"/>
          </w:pPr>
          <w:proofErr w:type="spellStart"/>
          <w:r>
            <w:t>Dayaratna</w:t>
          </w:r>
          <w:proofErr w:type="spellEnd"/>
          <w:r>
            <w:t xml:space="preserve">, K (2013). Competitive Markets in Health Care: The Next Revolution </w:t>
          </w:r>
        </w:p>
        <w:p w:rsidR="00AE7802" w:rsidRDefault="00067238" w:rsidP="00067238">
          <w:pPr>
            <w:ind w:firstLine="0"/>
          </w:pPr>
          <w:r>
            <w:t>Competitive-markets-in-health-care-the-next-revolution</w:t>
          </w:r>
        </w:p>
        <w:p w:rsidR="00AE7802" w:rsidRDefault="00AE7802" w:rsidP="00067238">
          <w:pPr>
            <w:ind w:firstLine="0"/>
          </w:pPr>
          <w:r w:rsidRPr="00AE7802">
            <w:t xml:space="preserve">Goodrich, R. (2015). SWOT Analysis </w:t>
          </w:r>
          <w:hyperlink r:id="rId13" w:anchor="sthash.ElY7T88K.dpuf" w:history="1">
            <w:r w:rsidRPr="00571ABC">
              <w:rPr>
                <w:rStyle w:val="Hyperlink"/>
              </w:rPr>
              <w:t>http://www.businessnewsdaily.com/4245-swot-analysis.html#sthash.ElY7T88K.dpuf</w:t>
            </w:r>
          </w:hyperlink>
        </w:p>
        <w:p w:rsidR="00AE7802" w:rsidRDefault="00AE7802" w:rsidP="00AE7802">
          <w:pPr>
            <w:ind w:firstLine="0"/>
          </w:pPr>
          <w:r>
            <w:t>Gandolf, S. (2010). A Critical Health Care Marketing Success Factor</w:t>
          </w:r>
        </w:p>
        <w:p w:rsidR="00AE7802" w:rsidRDefault="00845335" w:rsidP="00AE7802">
          <w:pPr>
            <w:ind w:firstLine="0"/>
          </w:pPr>
          <w:hyperlink r:id="rId14" w:anchor="sthash.ElY7T88K.dpuf" w:history="1">
            <w:r w:rsidR="00AE7802" w:rsidRPr="00571ABC">
              <w:rPr>
                <w:rStyle w:val="Hyperlink"/>
              </w:rPr>
              <w:t>http://www.businessnewsdaily.com/4245-swot-analysis.html#sthash.ElY7T88K.dpuf</w:t>
            </w:r>
          </w:hyperlink>
        </w:p>
        <w:p w:rsidR="00AE7802" w:rsidRDefault="00AE7802" w:rsidP="00AE7802">
          <w:pPr>
            <w:ind w:firstLine="0"/>
          </w:pPr>
          <w:r w:rsidRPr="00AE7802">
            <w:t xml:space="preserve">Health begin at Home </w:t>
          </w:r>
          <w:hyperlink r:id="rId15" w:history="1">
            <w:r w:rsidRPr="00571ABC">
              <w:rPr>
                <w:rStyle w:val="Hyperlink"/>
              </w:rPr>
              <w:t>http://www.myhealthycommunity.com/</w:t>
            </w:r>
          </w:hyperlink>
        </w:p>
        <w:p w:rsidR="00AE7802" w:rsidRDefault="00AE7802" w:rsidP="00AE7802">
          <w:pPr>
            <w:ind w:firstLine="0"/>
          </w:pPr>
          <w:proofErr w:type="spellStart"/>
          <w:r w:rsidRPr="00AE7802">
            <w:t>Hargett</w:t>
          </w:r>
          <w:proofErr w:type="spellEnd"/>
          <w:r w:rsidRPr="00AE7802">
            <w:t xml:space="preserve">, F. (2014). Novant Health 2014 annual financial information </w:t>
          </w:r>
          <w:hyperlink r:id="rId16" w:history="1">
            <w:r w:rsidRPr="00571ABC">
              <w:rPr>
                <w:rStyle w:val="Hyperlink"/>
              </w:rPr>
              <w:t>http://www.novanthealth.org/home/about-us/company-information/financial-profile/annual-financial-information.aspx</w:t>
            </w:r>
          </w:hyperlink>
        </w:p>
        <w:p w:rsidR="00AE7802" w:rsidRDefault="00AE7802" w:rsidP="00AE7802">
          <w:pPr>
            <w:ind w:firstLine="0"/>
          </w:pPr>
          <w:r>
            <w:t>Herman, B (2013). 14 Statistics on Hospital Operating Ratios</w:t>
          </w:r>
        </w:p>
        <w:p w:rsidR="00AE7802" w:rsidRDefault="00845335" w:rsidP="00AE7802">
          <w:pPr>
            <w:ind w:firstLine="0"/>
          </w:pPr>
          <w:hyperlink r:id="rId17" w:history="1">
            <w:r w:rsidR="00AE7802" w:rsidRPr="00571ABC">
              <w:rPr>
                <w:rStyle w:val="Hyperlink"/>
              </w:rPr>
              <w:t>http://www.beckershospitalreview.com/finance/14-statistics-on-hospital-operating-ratios-2008-2011.html</w:t>
            </w:r>
          </w:hyperlink>
        </w:p>
        <w:p w:rsidR="00A84BA5" w:rsidRDefault="00AE7802" w:rsidP="00AE7802">
          <w:pPr>
            <w:ind w:firstLine="0"/>
          </w:pPr>
          <w:r w:rsidRPr="00AE7802">
            <w:t xml:space="preserve">Johnson, Robert (n.d.). Commission to build a Healthier America </w:t>
          </w:r>
          <w:hyperlink r:id="rId18" w:history="1">
            <w:r w:rsidRPr="00571ABC">
              <w:rPr>
                <w:rStyle w:val="Hyperlink"/>
              </w:rPr>
              <w:t>http://www.commissiononhealth.org/HealthyPlaces.aspx</w:t>
            </w:r>
          </w:hyperlink>
          <w:r w:rsidR="00A84BA5">
            <w:t xml:space="preserve"> </w:t>
          </w:r>
          <w:r w:rsidRPr="00AE7802">
            <w:t xml:space="preserve">The Medicare Newsgroup (2015). </w:t>
          </w:r>
        </w:p>
        <w:p w:rsidR="00A84BA5" w:rsidRDefault="00AE7802" w:rsidP="00AE7802">
          <w:pPr>
            <w:ind w:firstLine="0"/>
          </w:pPr>
          <w:r w:rsidRPr="00AE7802">
            <w:t xml:space="preserve">What Is the Difference </w:t>
          </w:r>
          <w:r w:rsidR="00A84BA5" w:rsidRPr="00AE7802">
            <w:t>between</w:t>
          </w:r>
          <w:r w:rsidRPr="00AE7802">
            <w:t xml:space="preserve"> Nonprofit Hospitals and For-</w:t>
          </w:r>
        </w:p>
        <w:p w:rsidR="00A84BA5" w:rsidRDefault="00A84BA5" w:rsidP="00AE7802">
          <w:pPr>
            <w:ind w:firstLine="0"/>
          </w:pPr>
          <w:r>
            <w:t xml:space="preserve">Dash, P &amp; </w:t>
          </w:r>
          <w:r w:rsidRPr="00A84BA5">
            <w:t>Meredith</w:t>
          </w:r>
          <w:r>
            <w:t xml:space="preserve">, D (2010) </w:t>
          </w:r>
          <w:r w:rsidRPr="00A84BA5">
            <w:t>When and how provider competition can improve health care delivery</w:t>
          </w:r>
        </w:p>
        <w:p w:rsidR="00A84BA5" w:rsidRDefault="00A84BA5" w:rsidP="00AE7802">
          <w:pPr>
            <w:ind w:firstLine="0"/>
          </w:pPr>
          <w:r w:rsidRPr="00A84BA5">
            <w:t>http://www.mckinsey.com/insights/health_systems_and_services/when_and_how_provider_competition_can_improve_health_care_delivery</w:t>
          </w:r>
        </w:p>
        <w:p w:rsidR="00AE7802" w:rsidRDefault="00AE7802" w:rsidP="00AE7802">
          <w:pPr>
            <w:ind w:firstLine="0"/>
          </w:pPr>
          <w:r w:rsidRPr="00AE7802">
            <w:t xml:space="preserve">Profit Hospitals? </w:t>
          </w:r>
          <w:hyperlink r:id="rId19" w:history="1">
            <w:r w:rsidRPr="00571ABC">
              <w:rPr>
                <w:rStyle w:val="Hyperlink"/>
              </w:rPr>
              <w:t>http://www.medicarenewsgroup.com/news/medicare-faqs/individual-faq?faqId=31a98723-ad91-4801-9bd8-1f968a7c0f1b</w:t>
            </w:r>
          </w:hyperlink>
        </w:p>
        <w:p w:rsidR="00AE7802" w:rsidRDefault="00AE7802" w:rsidP="00AE7802">
          <w:pPr>
            <w:ind w:firstLine="0"/>
          </w:pPr>
          <w:r w:rsidRPr="00AE7802">
            <w:t xml:space="preserve">PWC (2013) Independent Auditor's Report </w:t>
          </w:r>
          <w:hyperlink r:id="rId20" w:history="1">
            <w:r w:rsidRPr="00571ABC">
              <w:rPr>
                <w:rStyle w:val="Hyperlink"/>
              </w:rPr>
              <w:t>http://emma.msrb.org/EA595749-EA466150-EA862461.pdf</w:t>
            </w:r>
          </w:hyperlink>
        </w:p>
        <w:p w:rsidR="00AE7802" w:rsidRDefault="00AE7802" w:rsidP="00AE7802">
          <w:pPr>
            <w:ind w:firstLine="0"/>
          </w:pPr>
          <w:r w:rsidRPr="00AE7802">
            <w:t>Wei, Y (n.d.) summit.sfu.ca/system/files/iritems1/6829/etd0426.pdf.</w:t>
          </w:r>
        </w:p>
        <w:p w:rsidR="00AE7802" w:rsidRDefault="00AE7802" w:rsidP="00AE7802">
          <w:pPr>
            <w:ind w:firstLine="0"/>
          </w:pPr>
        </w:p>
        <w:p w:rsidR="00AE7802" w:rsidRPr="00067238" w:rsidRDefault="00AE7802" w:rsidP="00067238">
          <w:pPr>
            <w:ind w:firstLine="0"/>
          </w:pPr>
        </w:p>
        <w:sdt>
          <w:sdtPr>
            <w:id w:val="-573587230"/>
            <w:bibliography/>
          </w:sdtPr>
          <w:sdtEndPr/>
          <w:sdtContent>
            <w:p w:rsidR="00686216" w:rsidRDefault="00686216" w:rsidP="00686216"/>
            <w:p w:rsidR="00686216" w:rsidRDefault="00686216"/>
            <w:p w:rsidR="00686216" w:rsidRDefault="00686216"/>
            <w:p w:rsidR="003A2E4B" w:rsidRDefault="003A2E4B"/>
            <w:p w:rsidR="0076625E" w:rsidRDefault="0076625E"/>
            <w:p w:rsidR="0076625E" w:rsidRDefault="0076625E"/>
            <w:p w:rsidR="00F82A9A" w:rsidRDefault="00845335" w:rsidP="00F82A9A">
              <w:pPr>
                <w:ind w:firstLine="0"/>
              </w:pPr>
            </w:p>
          </w:sdtContent>
        </w:sdt>
      </w:sdtContent>
    </w:sdt>
    <w:p w:rsidR="0019673E" w:rsidRDefault="0019673E"/>
    <w:sectPr w:rsidR="0019673E">
      <w:headerReference w:type="default" r:id="rId21"/>
      <w:headerReference w:type="first" r:id="rId22"/>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AD" w:rsidRDefault="001906AD">
      <w:pPr>
        <w:spacing w:line="240" w:lineRule="auto"/>
      </w:pPr>
      <w:r>
        <w:separator/>
      </w:r>
    </w:p>
  </w:endnote>
  <w:endnote w:type="continuationSeparator" w:id="0">
    <w:p w:rsidR="001906AD" w:rsidRDefault="00190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Times New Roman">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AD" w:rsidRDefault="001906AD">
      <w:pPr>
        <w:spacing w:line="240" w:lineRule="auto"/>
      </w:pPr>
      <w:r>
        <w:separator/>
      </w:r>
    </w:p>
  </w:footnote>
  <w:footnote w:type="continuationSeparator" w:id="0">
    <w:p w:rsidR="001906AD" w:rsidRDefault="001906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0D" w:rsidRDefault="00845335">
    <w:pPr>
      <w:pStyle w:val="Header"/>
    </w:pPr>
    <w:sdt>
      <w:sdtPr>
        <w:rPr>
          <w:rStyle w:val="Strong"/>
        </w:rPr>
        <w:alias w:val="Running head"/>
        <w:tag w:val=""/>
        <w:id w:val="12739865"/>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48570D">
          <w:rPr>
            <w:rStyle w:val="Strong"/>
          </w:rPr>
          <w:t>[Shortened Title up to 50 Characters]</w:t>
        </w:r>
      </w:sdtContent>
    </w:sdt>
    <w:r w:rsidR="0048570D">
      <w:rPr>
        <w:rStyle w:val="Strong"/>
      </w:rPr>
      <w:ptab w:relativeTo="margin" w:alignment="right" w:leader="none"/>
    </w:r>
    <w:r w:rsidR="0048570D">
      <w:rPr>
        <w:rStyle w:val="Strong"/>
      </w:rPr>
      <w:fldChar w:fldCharType="begin"/>
    </w:r>
    <w:r w:rsidR="0048570D">
      <w:rPr>
        <w:rStyle w:val="Strong"/>
      </w:rPr>
      <w:instrText xml:space="preserve"> PAGE   \* MERGEFORMAT </w:instrText>
    </w:r>
    <w:r w:rsidR="0048570D">
      <w:rPr>
        <w:rStyle w:val="Strong"/>
      </w:rPr>
      <w:fldChar w:fldCharType="separate"/>
    </w:r>
    <w:r>
      <w:rPr>
        <w:rStyle w:val="Strong"/>
        <w:noProof/>
      </w:rPr>
      <w:t>16</w:t>
    </w:r>
    <w:r w:rsidR="0048570D">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0D" w:rsidRDefault="0048570D">
    <w:pPr>
      <w:pStyle w:val="Header"/>
      <w:rPr>
        <w:rStyle w:val="Strong"/>
      </w:rPr>
    </w:pPr>
    <w:r>
      <w:t xml:space="preserve">Running head: </w:t>
    </w:r>
    <w:sdt>
      <w:sdtPr>
        <w:rPr>
          <w:rStyle w:val="Strong"/>
        </w:rPr>
        <w:alias w:val="Running head"/>
        <w:tag w:val=""/>
        <w:id w:val="-696842620"/>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[Shortened Title up to 50 Characters</w:t>
        </w:r>
        <w:proofErr w:type="gramStart"/>
        <w:r>
          <w:rPr>
            <w:rStyle w:val="Strong"/>
          </w:rPr>
          <w:t>]</w:t>
        </w:r>
        <w:proofErr w:type="gramEnd"/>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845335">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6D"/>
    <w:rsid w:val="0002291A"/>
    <w:rsid w:val="00054B9E"/>
    <w:rsid w:val="00067238"/>
    <w:rsid w:val="0008721C"/>
    <w:rsid w:val="0009618E"/>
    <w:rsid w:val="000F5F4C"/>
    <w:rsid w:val="00112F00"/>
    <w:rsid w:val="001906AD"/>
    <w:rsid w:val="00192FB0"/>
    <w:rsid w:val="0019673E"/>
    <w:rsid w:val="001D3F5B"/>
    <w:rsid w:val="001D4F63"/>
    <w:rsid w:val="00234F74"/>
    <w:rsid w:val="002368F5"/>
    <w:rsid w:val="002372FB"/>
    <w:rsid w:val="002715D7"/>
    <w:rsid w:val="002A3A11"/>
    <w:rsid w:val="00304824"/>
    <w:rsid w:val="00346C7A"/>
    <w:rsid w:val="0036665C"/>
    <w:rsid w:val="00371CB6"/>
    <w:rsid w:val="003A2E4B"/>
    <w:rsid w:val="00406912"/>
    <w:rsid w:val="00413936"/>
    <w:rsid w:val="0042362C"/>
    <w:rsid w:val="00462970"/>
    <w:rsid w:val="0048570D"/>
    <w:rsid w:val="004E73B7"/>
    <w:rsid w:val="00503239"/>
    <w:rsid w:val="00510B50"/>
    <w:rsid w:val="00570C88"/>
    <w:rsid w:val="005B2D53"/>
    <w:rsid w:val="005B5012"/>
    <w:rsid w:val="00623706"/>
    <w:rsid w:val="0062399C"/>
    <w:rsid w:val="00673DDA"/>
    <w:rsid w:val="00686216"/>
    <w:rsid w:val="006B3F1D"/>
    <w:rsid w:val="006C5F1A"/>
    <w:rsid w:val="00700607"/>
    <w:rsid w:val="00713D3E"/>
    <w:rsid w:val="00762206"/>
    <w:rsid w:val="0076625E"/>
    <w:rsid w:val="007A3AF2"/>
    <w:rsid w:val="007A6E98"/>
    <w:rsid w:val="007B40D1"/>
    <w:rsid w:val="007B706D"/>
    <w:rsid w:val="007C411E"/>
    <w:rsid w:val="007D19F5"/>
    <w:rsid w:val="007E5658"/>
    <w:rsid w:val="007F09DB"/>
    <w:rsid w:val="00837366"/>
    <w:rsid w:val="00845335"/>
    <w:rsid w:val="0088103E"/>
    <w:rsid w:val="00881982"/>
    <w:rsid w:val="008A3935"/>
    <w:rsid w:val="00935D4F"/>
    <w:rsid w:val="00945100"/>
    <w:rsid w:val="009A16CC"/>
    <w:rsid w:val="009C7314"/>
    <w:rsid w:val="009D14C9"/>
    <w:rsid w:val="009F79B2"/>
    <w:rsid w:val="00A04D6F"/>
    <w:rsid w:val="00A42A7F"/>
    <w:rsid w:val="00A42FB1"/>
    <w:rsid w:val="00A46B2A"/>
    <w:rsid w:val="00A84BA5"/>
    <w:rsid w:val="00AD4571"/>
    <w:rsid w:val="00AE7802"/>
    <w:rsid w:val="00AF6165"/>
    <w:rsid w:val="00AF6C91"/>
    <w:rsid w:val="00B3612B"/>
    <w:rsid w:val="00B73EDB"/>
    <w:rsid w:val="00B811AA"/>
    <w:rsid w:val="00BA15FF"/>
    <w:rsid w:val="00BB2BB2"/>
    <w:rsid w:val="00BC6B1E"/>
    <w:rsid w:val="00BF4D3D"/>
    <w:rsid w:val="00C11F09"/>
    <w:rsid w:val="00C17E9B"/>
    <w:rsid w:val="00C44C7F"/>
    <w:rsid w:val="00C86352"/>
    <w:rsid w:val="00C873A3"/>
    <w:rsid w:val="00C974D3"/>
    <w:rsid w:val="00CC783A"/>
    <w:rsid w:val="00CE2780"/>
    <w:rsid w:val="00D275ED"/>
    <w:rsid w:val="00D51C14"/>
    <w:rsid w:val="00D82AE8"/>
    <w:rsid w:val="00D91FA0"/>
    <w:rsid w:val="00DE3009"/>
    <w:rsid w:val="00E10CF4"/>
    <w:rsid w:val="00E23A93"/>
    <w:rsid w:val="00E5190F"/>
    <w:rsid w:val="00E5554F"/>
    <w:rsid w:val="00E65FAD"/>
    <w:rsid w:val="00E8600D"/>
    <w:rsid w:val="00EB2B97"/>
    <w:rsid w:val="00ED0233"/>
    <w:rsid w:val="00F11945"/>
    <w:rsid w:val="00F27EB1"/>
    <w:rsid w:val="00F7510E"/>
    <w:rsid w:val="00F82A9A"/>
    <w:rsid w:val="00FA56C0"/>
    <w:rsid w:val="00FD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29E30-B886-4B47-A6FB-C71D95A6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F82A9A"/>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2647816">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7542872">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37873262">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1952100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922225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3377032">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inessnewsdaily.com/4245-swot-analysis.html" TargetMode="External"/><Relationship Id="rId18" Type="http://schemas.openxmlformats.org/officeDocument/2006/relationships/hyperlink" Target="http://www.commissiononhealth.org/HealthyPlaces.aspx"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ommunitycheer.org/indicators/health/what-is-a-healthy-community/" TargetMode="External"/><Relationship Id="rId17" Type="http://schemas.openxmlformats.org/officeDocument/2006/relationships/hyperlink" Target="http://www.beckershospitalreview.com/finance/14-statistics-on-hospital-operating-ratios-2008-2011.html" TargetMode="External"/><Relationship Id="rId2" Type="http://schemas.openxmlformats.org/officeDocument/2006/relationships/customXml" Target="../customXml/item2.xml"/><Relationship Id="rId16" Type="http://schemas.openxmlformats.org/officeDocument/2006/relationships/hyperlink" Target="http://www.novanthealth.org/home/about-us/company-information/financial-profile/annual-financial-information.aspx" TargetMode="External"/><Relationship Id="rId20" Type="http://schemas.openxmlformats.org/officeDocument/2006/relationships/hyperlink" Target="http://emma.msrb.org/EA595749-EA466150-EA86246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trauma.org/?page=TraumaLevel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yhealthycommunity.com/"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medicarenewsgroup.com/news/medicare-faqs/individual-faq?faqId=31a98723-ad91-4801-9bd8-1f968a7c0f1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usinessnewsdaily.com/4245-swot-analysis.htm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Adams\AppData\Roaming\Microsoft\Templates\APA%20style%20report%20(6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CCDCF6D6-A984-4A6C-9B38-9C330CE6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16</Pages>
  <Words>3148</Words>
  <Characters>17946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Novant Health, Inc.</Company>
  <LinksUpToDate>false</LinksUpToDate>
  <CharactersWithSpaces>21052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Adams</dc:creator>
  <cp:lastModifiedBy>Daniel Adams</cp:lastModifiedBy>
  <cp:revision>2</cp:revision>
  <dcterms:created xsi:type="dcterms:W3CDTF">2015-12-05T02:26:00Z</dcterms:created>
  <dcterms:modified xsi:type="dcterms:W3CDTF">2015-12-05T02:26:00Z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