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34" w:rsidRPr="005051DE" w:rsidRDefault="00C420BE" w:rsidP="005337E5">
      <w:pPr>
        <w:pBdr>
          <w:bottom w:val="single" w:sz="12" w:space="1" w:color="auto"/>
        </w:pBdr>
        <w:rPr>
          <w:b/>
          <w:bCs/>
          <w:spacing w:val="20"/>
        </w:rPr>
      </w:pPr>
      <w:r>
        <w:rPr>
          <w:b/>
          <w:bCs/>
          <w:spacing w:val="20"/>
        </w:rPr>
        <w:t>INTRODUCTION</w:t>
      </w:r>
    </w:p>
    <w:p w:rsidR="00EA0465" w:rsidRDefault="00EA0465" w:rsidP="00EA0465">
      <w:pPr>
        <w:rPr>
          <w:b/>
          <w:bCs/>
          <w:sz w:val="28"/>
          <w:szCs w:val="28"/>
        </w:rPr>
      </w:pPr>
    </w:p>
    <w:p w:rsidR="00B64C67" w:rsidRDefault="00A92E6A" w:rsidP="00493047">
      <w:r>
        <w:tab/>
      </w:r>
      <w:r w:rsidR="00076F21">
        <w:t>Porsche is one of the most prestigious s</w:t>
      </w:r>
      <w:r w:rsidR="002D6C3C">
        <w:t xml:space="preserve">ports car brands in the world. </w:t>
      </w:r>
      <w:r w:rsidR="00C420BE">
        <w:t>This case</w:t>
      </w:r>
      <w:r w:rsidR="00076F21">
        <w:t xml:space="preserve"> </w:t>
      </w:r>
      <w:r w:rsidR="00830B22">
        <w:t>explore</w:t>
      </w:r>
      <w:r w:rsidR="00B3776D">
        <w:t>s</w:t>
      </w:r>
      <w:r w:rsidR="00076F21">
        <w:t xml:space="preserve"> </w:t>
      </w:r>
      <w:r w:rsidR="00EB1F8B">
        <w:t>the c</w:t>
      </w:r>
      <w:r w:rsidR="00076F21">
        <w:t>omplex</w:t>
      </w:r>
      <w:r w:rsidR="00B3776D">
        <w:t xml:space="preserve">ities </w:t>
      </w:r>
      <w:r w:rsidR="00BB5E69">
        <w:t>associated with</w:t>
      </w:r>
      <w:r w:rsidR="00076F21">
        <w:t xml:space="preserve"> </w:t>
      </w:r>
      <w:r w:rsidR="00BB5E69">
        <w:t xml:space="preserve">integrating </w:t>
      </w:r>
      <w:r w:rsidR="00076F21">
        <w:t>into</w:t>
      </w:r>
      <w:r w:rsidR="002D6C3C">
        <w:t xml:space="preserve"> a new parent company. </w:t>
      </w:r>
      <w:r w:rsidR="00B3776D">
        <w:t xml:space="preserve">Porsche’s </w:t>
      </w:r>
      <w:r w:rsidR="00076F21">
        <w:t xml:space="preserve">entire identity and business model is subject to change as </w:t>
      </w:r>
      <w:r w:rsidR="00B3776D">
        <w:t xml:space="preserve">Volkswagen </w:t>
      </w:r>
      <w:r w:rsidR="00076F21">
        <w:t xml:space="preserve">shuffles executives across product lines and implements new strategies to become the </w:t>
      </w:r>
      <w:r w:rsidR="00B3776D">
        <w:t xml:space="preserve">world’s </w:t>
      </w:r>
      <w:r w:rsidR="00076F21">
        <w:t xml:space="preserve">leading automotive group.  </w:t>
      </w:r>
    </w:p>
    <w:p w:rsidR="00076F21" w:rsidRDefault="00076F21" w:rsidP="00493047"/>
    <w:p w:rsidR="00076F21" w:rsidRDefault="00076F21" w:rsidP="00493047">
      <w:r>
        <w:tab/>
        <w:t xml:space="preserve">Background information </w:t>
      </w:r>
      <w:r w:rsidR="00B3776D">
        <w:t xml:space="preserve">on the external environment </w:t>
      </w:r>
      <w:r w:rsidR="00BB5E69">
        <w:t xml:space="preserve">is </w:t>
      </w:r>
      <w:r>
        <w:t xml:space="preserve">provided </w:t>
      </w:r>
      <w:r w:rsidR="002D6C3C">
        <w:t>that</w:t>
      </w:r>
      <w:r w:rsidR="00B3776D">
        <w:t xml:space="preserve"> discusses </w:t>
      </w:r>
      <w:r>
        <w:t>economic and political challenges, industry</w:t>
      </w:r>
      <w:r w:rsidR="00BB5E69">
        <w:t xml:space="preserve"> characteristics, global trends</w:t>
      </w:r>
      <w:r>
        <w:t xml:space="preserve">, and </w:t>
      </w:r>
      <w:r w:rsidR="00B3776D">
        <w:t xml:space="preserve">existing </w:t>
      </w:r>
      <w:r>
        <w:t>competit</w:t>
      </w:r>
      <w:r w:rsidR="00B3776D">
        <w:t>ors</w:t>
      </w:r>
      <w:r w:rsidR="002D6C3C">
        <w:t xml:space="preserve">. </w:t>
      </w:r>
      <w:r>
        <w:t xml:space="preserve">Factors </w:t>
      </w:r>
      <w:r w:rsidR="002D6C3C">
        <w:t>that</w:t>
      </w:r>
      <w:r>
        <w:t xml:space="preserve"> have contributed to Porsche’s market and financial success are highlighted </w:t>
      </w:r>
      <w:r w:rsidR="00B3776D">
        <w:t xml:space="preserve">as well </w:t>
      </w:r>
      <w:r>
        <w:t>and include product quality, innovation, strategic partners, diversification, and customer loyalty.</w:t>
      </w:r>
    </w:p>
    <w:p w:rsidR="00076F21" w:rsidRDefault="00076F21" w:rsidP="00493047"/>
    <w:p w:rsidR="00076F21" w:rsidRDefault="00076F21" w:rsidP="00493047">
      <w:r>
        <w:tab/>
        <w:t>Now under the umbrella</w:t>
      </w:r>
      <w:r w:rsidRPr="00076F21">
        <w:t xml:space="preserve"> </w:t>
      </w:r>
      <w:r>
        <w:t xml:space="preserve">of the Volkswagen Group, corporate objectives will </w:t>
      </w:r>
      <w:r w:rsidR="00B3776D">
        <w:t xml:space="preserve">strongly </w:t>
      </w:r>
      <w:r>
        <w:t xml:space="preserve">influence </w:t>
      </w:r>
      <w:r w:rsidR="00BB5E69">
        <w:t xml:space="preserve">Porsche’s </w:t>
      </w:r>
      <w:r>
        <w:t>strategi</w:t>
      </w:r>
      <w:r w:rsidR="00BB5E69">
        <w:t>c</w:t>
      </w:r>
      <w:r w:rsidR="002D6C3C">
        <w:t xml:space="preserve"> direction. </w:t>
      </w:r>
      <w:r>
        <w:t xml:space="preserve">As </w:t>
      </w:r>
      <w:r w:rsidR="00DC3486">
        <w:t>this</w:t>
      </w:r>
      <w:r>
        <w:t xml:space="preserve"> is likely to involve a dramatic shift from current business practices,</w:t>
      </w:r>
      <w:r w:rsidR="00DC3486">
        <w:t xml:space="preserve"> several concerns are surfacing.</w:t>
      </w:r>
      <w:r w:rsidR="002D6C3C">
        <w:t xml:space="preserve"> </w:t>
      </w:r>
      <w:r w:rsidR="00BB5E69">
        <w:t>An in-depth look</w:t>
      </w:r>
      <w:r>
        <w:t xml:space="preserve"> </w:t>
      </w:r>
      <w:r w:rsidR="00BB5E69">
        <w:t>at the company’s strengths, weaknesses, opportunities, threats, product line positioning against competitors, and anticipated changes in strategic direction will lead to a better understanding of the circumstances Porsche is facing and will suggest protective measures needed to prevent deterioration of its brand and competitive advantages.</w:t>
      </w:r>
      <w:r>
        <w:t xml:space="preserve">  </w:t>
      </w:r>
    </w:p>
    <w:p w:rsidR="00B64C67" w:rsidRDefault="00A92E6A" w:rsidP="00493047">
      <w:r>
        <w:tab/>
      </w:r>
    </w:p>
    <w:p w:rsidR="00B64C67" w:rsidRDefault="00B2434E" w:rsidP="00B64C67">
      <w:pPr>
        <w:pStyle w:val="ListParagraph"/>
        <w:numPr>
          <w:ilvl w:val="0"/>
          <w:numId w:val="7"/>
        </w:numPr>
        <w:spacing w:after="120"/>
        <w:ind w:left="720"/>
      </w:pPr>
      <w:r>
        <w:t xml:space="preserve">Using a </w:t>
      </w:r>
      <w:r w:rsidR="00DC3486">
        <w:t>SWOT</w:t>
      </w:r>
      <w:r>
        <w:t xml:space="preserve"> analysis framework, evaluate the factors in Porsche’s inter</w:t>
      </w:r>
      <w:r w:rsidR="002D6C3C">
        <w:t xml:space="preserve">nal and </w:t>
      </w:r>
      <w:proofErr w:type="gramStart"/>
      <w:r w:rsidR="002D6C3C">
        <w:t>external</w:t>
      </w:r>
      <w:proofErr w:type="gramEnd"/>
      <w:r w:rsidR="002D6C3C">
        <w:t xml:space="preserve"> environments. </w:t>
      </w:r>
      <w:r>
        <w:t xml:space="preserve">Be sure to specify strengths, weaknesses, opportunities, or threats </w:t>
      </w:r>
      <w:r w:rsidR="002D6C3C">
        <w:t>that</w:t>
      </w:r>
      <w:r>
        <w:t xml:space="preserve"> are new to the company </w:t>
      </w:r>
      <w:r w:rsidR="00CD3FE5">
        <w:t xml:space="preserve">as a division of </w:t>
      </w:r>
      <w:r>
        <w:t>V</w:t>
      </w:r>
      <w:r w:rsidR="00CD3FE5">
        <w:t>olkswagen Group</w:t>
      </w:r>
      <w:r>
        <w:t>.</w:t>
      </w:r>
    </w:p>
    <w:p w:rsidR="00B64C67" w:rsidRDefault="00B2434E" w:rsidP="00B64C67">
      <w:pPr>
        <w:pStyle w:val="ListParagraph"/>
        <w:numPr>
          <w:ilvl w:val="0"/>
          <w:numId w:val="7"/>
        </w:numPr>
        <w:spacing w:after="120"/>
        <w:ind w:left="720"/>
      </w:pPr>
      <w:r>
        <w:t>Review the mix of products of</w:t>
      </w:r>
      <w:r w:rsidR="002D6C3C">
        <w:t xml:space="preserve">fered under the Porsche brand. </w:t>
      </w:r>
      <w:r>
        <w:t xml:space="preserve">How do the </w:t>
      </w:r>
      <w:r w:rsidR="00CD3FE5">
        <w:t>models compare against competitor</w:t>
      </w:r>
      <w:r>
        <w:t xml:space="preserve"> products in the marketplace?</w:t>
      </w:r>
    </w:p>
    <w:p w:rsidR="00B64C67" w:rsidRDefault="00B2434E" w:rsidP="00B64C67">
      <w:pPr>
        <w:pStyle w:val="ListParagraph"/>
        <w:numPr>
          <w:ilvl w:val="0"/>
          <w:numId w:val="7"/>
        </w:numPr>
        <w:spacing w:after="120"/>
        <w:ind w:left="720"/>
      </w:pPr>
      <w:r>
        <w:t>How will Porsche’s strategy change under Volkswagen ownership?</w:t>
      </w:r>
    </w:p>
    <w:p w:rsidR="00EC4F98" w:rsidRDefault="00B2434E" w:rsidP="00B64C67">
      <w:pPr>
        <w:pStyle w:val="ListParagraph"/>
        <w:numPr>
          <w:ilvl w:val="0"/>
          <w:numId w:val="7"/>
        </w:numPr>
        <w:ind w:left="720"/>
      </w:pPr>
      <w:r>
        <w:t xml:space="preserve">What does this mean for the </w:t>
      </w:r>
      <w:r w:rsidR="00CD3FE5">
        <w:t xml:space="preserve">future of the </w:t>
      </w:r>
      <w:r>
        <w:t>company?</w:t>
      </w:r>
    </w:p>
    <w:p w:rsidR="00EC4F98" w:rsidRPr="00B2434E" w:rsidRDefault="00EC4F98" w:rsidP="00B64C67">
      <w:pPr>
        <w:pStyle w:val="ListParagraph"/>
        <w:rPr>
          <w:sz w:val="28"/>
          <w:szCs w:val="28"/>
        </w:rPr>
      </w:pPr>
    </w:p>
    <w:p w:rsidR="00CE27BF" w:rsidRDefault="00CE27BF" w:rsidP="00AC7D50">
      <w:r>
        <w:tab/>
        <w:t xml:space="preserve">A situation analysis of Porsche’s current circumstances reveals the strengths and </w:t>
      </w:r>
      <w:r w:rsidR="00CD3FE5">
        <w:t>weaknesses from within the firm</w:t>
      </w:r>
      <w:r>
        <w:t xml:space="preserve"> and the opportunities and threats from the external environment </w:t>
      </w:r>
      <w:r w:rsidR="002D6C3C">
        <w:t>that</w:t>
      </w:r>
      <w:r>
        <w:t xml:space="preserve"> will influence </w:t>
      </w:r>
      <w:r w:rsidR="00CD3FE5">
        <w:t>the company’</w:t>
      </w:r>
      <w:r w:rsidR="002D6C3C">
        <w:t>s strategy moving forward.</w:t>
      </w:r>
      <w:r>
        <w:t xml:space="preserve"> </w:t>
      </w:r>
      <w:r w:rsidR="00CD3FE5">
        <w:t>T</w:t>
      </w:r>
      <w:r>
        <w:t>he grid on the following page details the res</w:t>
      </w:r>
      <w:r w:rsidR="002D6C3C">
        <w:t>ults of the situation analysis.</w:t>
      </w:r>
      <w:r>
        <w:t xml:space="preserve"> Highlighted statements are conditions related to Volkswagen’s acquisition of the sports car maker.</w:t>
      </w:r>
    </w:p>
    <w:p w:rsidR="00CE27BF" w:rsidRDefault="00CE27BF" w:rsidP="00AC7D50"/>
    <w:p w:rsidR="00CE27BF" w:rsidRDefault="00CE27BF" w:rsidP="00AC7D50"/>
    <w:p w:rsidR="00CE27BF" w:rsidRDefault="00CE27BF" w:rsidP="00AC7D50"/>
    <w:p w:rsidR="00CE27BF" w:rsidRDefault="00CE27BF" w:rsidP="00AC7D50"/>
    <w:tbl>
      <w:tblPr>
        <w:tblStyle w:val="TableGrid"/>
        <w:tblW w:w="9025" w:type="dxa"/>
        <w:tblBorders>
          <w:top w:val="none" w:sz="0" w:space="0" w:color="auto"/>
          <w:left w:val="none" w:sz="0" w:space="0" w:color="auto"/>
          <w:bottom w:val="none" w:sz="0" w:space="0" w:color="auto"/>
          <w:right w:val="none" w:sz="0" w:space="0" w:color="auto"/>
        </w:tblBorders>
        <w:tblLook w:val="04A0"/>
      </w:tblPr>
      <w:tblGrid>
        <w:gridCol w:w="4615"/>
        <w:gridCol w:w="4410"/>
      </w:tblGrid>
      <w:tr w:rsidR="00AC7D50" w:rsidRPr="00CE27BF">
        <w:tc>
          <w:tcPr>
            <w:tcW w:w="4615" w:type="dxa"/>
            <w:tcMar>
              <w:left w:w="115" w:type="dxa"/>
              <w:right w:w="115" w:type="dxa"/>
            </w:tcMar>
          </w:tcPr>
          <w:p w:rsidR="00AC7D50" w:rsidRPr="00CE27BF" w:rsidRDefault="00AC7D50" w:rsidP="00AC7D50">
            <w:pPr>
              <w:jc w:val="center"/>
              <w:rPr>
                <w:u w:val="single"/>
              </w:rPr>
            </w:pPr>
            <w:r w:rsidRPr="00CE27BF">
              <w:rPr>
                <w:u w:val="single"/>
              </w:rPr>
              <w:t>STRENGTHS</w:t>
            </w:r>
          </w:p>
          <w:p w:rsidR="00AC7D50" w:rsidRPr="00CE27BF" w:rsidRDefault="00AC7D50" w:rsidP="00AC7D50">
            <w:pPr>
              <w:pStyle w:val="ListParagraph"/>
              <w:numPr>
                <w:ilvl w:val="0"/>
                <w:numId w:val="35"/>
              </w:numPr>
              <w:spacing w:before="120"/>
              <w:ind w:left="144" w:hanging="144"/>
            </w:pPr>
            <w:r w:rsidRPr="00CE27BF">
              <w:t>Powerhouse in international racing</w:t>
            </w:r>
          </w:p>
          <w:p w:rsidR="00AC7D50" w:rsidRPr="00CE27BF" w:rsidRDefault="00AC7D50" w:rsidP="00AC7D50">
            <w:pPr>
              <w:pStyle w:val="ListParagraph"/>
              <w:numPr>
                <w:ilvl w:val="0"/>
                <w:numId w:val="35"/>
              </w:numPr>
              <w:ind w:left="144" w:hanging="144"/>
            </w:pPr>
            <w:r w:rsidRPr="00CE27BF">
              <w:t>High shareholder returns from diversification initiatives</w:t>
            </w:r>
          </w:p>
          <w:p w:rsidR="00AC7D50" w:rsidRPr="00CE27BF" w:rsidRDefault="00AC7D50" w:rsidP="00AC7D50">
            <w:pPr>
              <w:pStyle w:val="ListParagraph"/>
              <w:numPr>
                <w:ilvl w:val="0"/>
                <w:numId w:val="35"/>
              </w:numPr>
              <w:ind w:left="144" w:hanging="144"/>
            </w:pPr>
            <w:r w:rsidRPr="00CE27BF">
              <w:t>Financial strength to sustain sizeable capital investments</w:t>
            </w:r>
          </w:p>
          <w:p w:rsidR="00AC7D50" w:rsidRPr="00CE27BF" w:rsidRDefault="00AC7D50" w:rsidP="00AC7D50">
            <w:pPr>
              <w:pStyle w:val="ListParagraph"/>
              <w:numPr>
                <w:ilvl w:val="0"/>
                <w:numId w:val="35"/>
              </w:numPr>
              <w:ind w:left="144" w:hanging="144"/>
            </w:pPr>
            <w:r w:rsidRPr="00CE27BF">
              <w:lastRenderedPageBreak/>
              <w:t>Engineering expertise</w:t>
            </w:r>
          </w:p>
          <w:p w:rsidR="00AC7D50" w:rsidRPr="00CE27BF" w:rsidRDefault="00B650FB" w:rsidP="00AC7D50">
            <w:pPr>
              <w:pStyle w:val="ListParagraph"/>
              <w:numPr>
                <w:ilvl w:val="0"/>
                <w:numId w:val="35"/>
              </w:numPr>
              <w:ind w:left="144" w:hanging="144"/>
            </w:pPr>
            <w:r>
              <w:t>Niche product offering – super</w:t>
            </w:r>
            <w:r w:rsidR="00AC7D50" w:rsidRPr="00CE27BF">
              <w:t>car performance at more affordable price level</w:t>
            </w:r>
          </w:p>
          <w:p w:rsidR="00AC7D50" w:rsidRPr="00CE27BF" w:rsidRDefault="00190B50" w:rsidP="00AC7D50">
            <w:pPr>
              <w:pStyle w:val="ListParagraph"/>
              <w:numPr>
                <w:ilvl w:val="0"/>
                <w:numId w:val="35"/>
              </w:numPr>
              <w:ind w:left="144" w:hanging="144"/>
            </w:pPr>
            <w:r>
              <w:t>Product quality;</w:t>
            </w:r>
            <w:r w:rsidR="00AC7D50" w:rsidRPr="00CE27BF">
              <w:t xml:space="preserve"> high rankings in long-term reliability</w:t>
            </w:r>
          </w:p>
          <w:p w:rsidR="00AC7D50" w:rsidRPr="00CE27BF" w:rsidRDefault="00190B50" w:rsidP="00AC7D50">
            <w:pPr>
              <w:pStyle w:val="ListParagraph"/>
              <w:numPr>
                <w:ilvl w:val="0"/>
                <w:numId w:val="35"/>
              </w:numPr>
              <w:ind w:left="144" w:hanging="144"/>
            </w:pPr>
            <w:r>
              <w:t>Manufacturing excellence;</w:t>
            </w:r>
            <w:r w:rsidR="00AC7D50" w:rsidRPr="00CE27BF">
              <w:t xml:space="preserve"> best car factory in the world</w:t>
            </w:r>
          </w:p>
          <w:p w:rsidR="00AC7D50" w:rsidRPr="00CE27BF" w:rsidRDefault="00AC7D50" w:rsidP="00AC7D50">
            <w:pPr>
              <w:pStyle w:val="ListParagraph"/>
              <w:numPr>
                <w:ilvl w:val="0"/>
                <w:numId w:val="35"/>
              </w:numPr>
              <w:ind w:left="144" w:hanging="144"/>
            </w:pPr>
            <w:r w:rsidRPr="00CE27BF">
              <w:t>Innovative technologies generated through racing programs</w:t>
            </w:r>
          </w:p>
          <w:p w:rsidR="00AC7D50" w:rsidRPr="00CE27BF" w:rsidRDefault="00AC7D50" w:rsidP="00AC7D50">
            <w:pPr>
              <w:pStyle w:val="ListParagraph"/>
              <w:numPr>
                <w:ilvl w:val="0"/>
                <w:numId w:val="35"/>
              </w:numPr>
              <w:ind w:left="144" w:hanging="144"/>
            </w:pPr>
            <w:r w:rsidRPr="00CE27BF">
              <w:t xml:space="preserve">Brand name/image maintained by emphasis on manufacturing quality, craftsmanship, design, </w:t>
            </w:r>
            <w:r w:rsidR="00CD3FE5">
              <w:t xml:space="preserve">and </w:t>
            </w:r>
            <w:r w:rsidRPr="00CE27BF">
              <w:t>technological R&amp;D</w:t>
            </w:r>
          </w:p>
          <w:p w:rsidR="00AC7D50" w:rsidRPr="00CE27BF" w:rsidRDefault="00CD3FE5" w:rsidP="00AC7D50">
            <w:pPr>
              <w:pStyle w:val="ListParagraph"/>
              <w:numPr>
                <w:ilvl w:val="0"/>
                <w:numId w:val="35"/>
              </w:numPr>
              <w:ind w:left="144" w:hanging="144"/>
            </w:pPr>
            <w:r>
              <w:t>L</w:t>
            </w:r>
            <w:r w:rsidR="00AC7D50" w:rsidRPr="00CE27BF">
              <w:t>ean manufacturing practices enabled by fewer models</w:t>
            </w:r>
          </w:p>
          <w:p w:rsidR="00AC7D50" w:rsidRPr="00CE27BF" w:rsidRDefault="00AC7D50" w:rsidP="00AC7D50">
            <w:pPr>
              <w:pStyle w:val="ListParagraph"/>
              <w:numPr>
                <w:ilvl w:val="0"/>
                <w:numId w:val="35"/>
              </w:numPr>
              <w:ind w:left="144" w:hanging="144"/>
            </w:pPr>
            <w:r w:rsidRPr="00CE27BF">
              <w:t>Vehicle performance and handling</w:t>
            </w:r>
          </w:p>
          <w:p w:rsidR="00AC7D50" w:rsidRPr="00CE27BF" w:rsidRDefault="00AC7D50" w:rsidP="00894774">
            <w:pPr>
              <w:pStyle w:val="ListParagraph"/>
              <w:numPr>
                <w:ilvl w:val="0"/>
                <w:numId w:val="35"/>
              </w:numPr>
              <w:spacing w:after="120"/>
              <w:ind w:left="144" w:hanging="144"/>
              <w:contextualSpacing w:val="0"/>
            </w:pPr>
            <w:r w:rsidRPr="00CE27BF">
              <w:t>Leader in sports car segment</w:t>
            </w:r>
          </w:p>
          <w:p w:rsidR="00AC7D50" w:rsidRPr="00CE27BF" w:rsidRDefault="00AC7D50" w:rsidP="00894774">
            <w:pPr>
              <w:pStyle w:val="ListParagraph"/>
              <w:numPr>
                <w:ilvl w:val="0"/>
                <w:numId w:val="35"/>
              </w:numPr>
              <w:spacing w:before="120" w:after="120"/>
              <w:ind w:left="144" w:hanging="144"/>
              <w:rPr>
                <w:b/>
              </w:rPr>
            </w:pPr>
            <w:r w:rsidRPr="00E22444">
              <w:rPr>
                <w:b/>
                <w:color w:val="365F91" w:themeColor="accent1" w:themeShade="BF"/>
              </w:rPr>
              <w:t xml:space="preserve">Backing of VW resources </w:t>
            </w:r>
          </w:p>
        </w:tc>
        <w:tc>
          <w:tcPr>
            <w:tcW w:w="4410" w:type="dxa"/>
            <w:tcMar>
              <w:left w:w="115" w:type="dxa"/>
              <w:right w:w="115" w:type="dxa"/>
            </w:tcMar>
          </w:tcPr>
          <w:p w:rsidR="00AC7D50" w:rsidRPr="00CE27BF" w:rsidRDefault="00AC7D50" w:rsidP="00AC7D50">
            <w:pPr>
              <w:jc w:val="center"/>
              <w:rPr>
                <w:u w:val="single"/>
              </w:rPr>
            </w:pPr>
            <w:r w:rsidRPr="00CE27BF">
              <w:rPr>
                <w:u w:val="single"/>
              </w:rPr>
              <w:lastRenderedPageBreak/>
              <w:t>WEAKNESSES</w:t>
            </w:r>
          </w:p>
          <w:p w:rsidR="00AC7D50" w:rsidRPr="00CE27BF" w:rsidRDefault="00AC7D50" w:rsidP="00AC7D50">
            <w:pPr>
              <w:pStyle w:val="ListParagraph"/>
              <w:numPr>
                <w:ilvl w:val="0"/>
                <w:numId w:val="36"/>
              </w:numPr>
              <w:spacing w:before="120"/>
              <w:ind w:left="144" w:hanging="144"/>
            </w:pPr>
            <w:r w:rsidRPr="00CE27BF">
              <w:t>Models not customized for foreign markets</w:t>
            </w:r>
          </w:p>
          <w:p w:rsidR="00AC7D50" w:rsidRPr="00CE27BF" w:rsidRDefault="00AC7D50" w:rsidP="00AC7D50">
            <w:pPr>
              <w:pStyle w:val="ListParagraph"/>
              <w:numPr>
                <w:ilvl w:val="0"/>
                <w:numId w:val="36"/>
              </w:numPr>
              <w:ind w:left="144" w:hanging="144"/>
            </w:pPr>
            <w:r w:rsidRPr="00CE27BF">
              <w:t xml:space="preserve">Loss of </w:t>
            </w:r>
            <w:proofErr w:type="spellStart"/>
            <w:r w:rsidRPr="00CE27BF">
              <w:t>Valmet</w:t>
            </w:r>
            <w:proofErr w:type="spellEnd"/>
            <w:r w:rsidRPr="00CE27BF">
              <w:t xml:space="preserve"> contract – new </w:t>
            </w:r>
            <w:proofErr w:type="spellStart"/>
            <w:r w:rsidR="00894774" w:rsidRPr="00CE27BF">
              <w:t>Boxter</w:t>
            </w:r>
            <w:proofErr w:type="spellEnd"/>
            <w:r w:rsidR="00894774" w:rsidRPr="00CE27BF">
              <w:t>/</w:t>
            </w:r>
            <w:r w:rsidR="00894774">
              <w:t xml:space="preserve"> </w:t>
            </w:r>
            <w:r w:rsidR="00894774" w:rsidRPr="00CE27BF">
              <w:t>Caym</w:t>
            </w:r>
            <w:r w:rsidR="00190B50">
              <w:t>a</w:t>
            </w:r>
            <w:r w:rsidR="00894774" w:rsidRPr="00CE27BF">
              <w:t xml:space="preserve">n </w:t>
            </w:r>
            <w:r w:rsidRPr="00CE27BF">
              <w:t xml:space="preserve">production </w:t>
            </w:r>
            <w:r w:rsidR="00894774">
              <w:t>facility not yet operational</w:t>
            </w:r>
            <w:r w:rsidRPr="00CE27BF">
              <w:t xml:space="preserve"> </w:t>
            </w:r>
          </w:p>
          <w:p w:rsidR="00AC7D50" w:rsidRPr="00CE27BF" w:rsidRDefault="00AC7D50" w:rsidP="00AC7D50">
            <w:pPr>
              <w:pStyle w:val="ListParagraph"/>
              <w:numPr>
                <w:ilvl w:val="0"/>
                <w:numId w:val="36"/>
              </w:numPr>
              <w:ind w:left="144" w:hanging="144"/>
            </w:pPr>
            <w:r w:rsidRPr="00CE27BF">
              <w:lastRenderedPageBreak/>
              <w:t>Flat sales of traditional 2-door high performance models</w:t>
            </w:r>
          </w:p>
          <w:p w:rsidR="00AC7D50" w:rsidRPr="00CE27BF" w:rsidRDefault="00190B50" w:rsidP="00AC7D50">
            <w:pPr>
              <w:pStyle w:val="ListParagraph"/>
              <w:numPr>
                <w:ilvl w:val="0"/>
                <w:numId w:val="36"/>
              </w:numPr>
              <w:ind w:left="144" w:hanging="144"/>
            </w:pPr>
            <w:r>
              <w:t>Higher costs;</w:t>
            </w:r>
            <w:r w:rsidR="00AC7D50" w:rsidRPr="00CE27BF">
              <w:t xml:space="preserve"> unable to take advantage of lower labor costs and production in major markets due to the need for tight control of </w:t>
            </w:r>
            <w:r w:rsidR="00894774">
              <w:t xml:space="preserve">manufacturing </w:t>
            </w:r>
            <w:r w:rsidR="00AC7D50" w:rsidRPr="00CE27BF">
              <w:t>processes to maintain craftsmanship, quality, etc.</w:t>
            </w:r>
          </w:p>
          <w:p w:rsidR="00AC7D50" w:rsidRPr="00CE27BF" w:rsidRDefault="00AC7D50" w:rsidP="00AC7D50">
            <w:pPr>
              <w:pStyle w:val="ListParagraph"/>
              <w:numPr>
                <w:ilvl w:val="0"/>
                <w:numId w:val="36"/>
              </w:numPr>
              <w:ind w:left="144" w:hanging="144"/>
            </w:pPr>
            <w:r w:rsidRPr="00CE27BF">
              <w:t xml:space="preserve">Departure from niche strategy </w:t>
            </w:r>
            <w:r w:rsidR="00894774">
              <w:t>(</w:t>
            </w:r>
            <w:r w:rsidR="00894774" w:rsidRPr="00CE27BF">
              <w:t>introduc</w:t>
            </w:r>
            <w:r w:rsidR="00894774">
              <w:t xml:space="preserve">tion of </w:t>
            </w:r>
            <w:r w:rsidR="00894774" w:rsidRPr="00CE27BF">
              <w:t>SUV and sedan models to grow sales</w:t>
            </w:r>
            <w:r w:rsidR="00894774">
              <w:t>)</w:t>
            </w:r>
            <w:r w:rsidR="00894774" w:rsidRPr="00CE27BF">
              <w:t xml:space="preserve"> </w:t>
            </w:r>
            <w:r w:rsidRPr="00CE27BF">
              <w:t>may have alre</w:t>
            </w:r>
            <w:r w:rsidR="00894774">
              <w:t>ady weakened Porsche brand</w:t>
            </w:r>
          </w:p>
          <w:p w:rsidR="00AC7D50" w:rsidRPr="00CE27BF" w:rsidRDefault="00AC7D50" w:rsidP="00894774">
            <w:pPr>
              <w:pStyle w:val="ListParagraph"/>
              <w:numPr>
                <w:ilvl w:val="0"/>
                <w:numId w:val="36"/>
              </w:numPr>
              <w:spacing w:before="120"/>
              <w:ind w:left="144" w:hanging="144"/>
              <w:contextualSpacing w:val="0"/>
            </w:pPr>
            <w:r w:rsidRPr="00E22444">
              <w:rPr>
                <w:b/>
                <w:color w:val="365F91" w:themeColor="accent1" w:themeShade="BF"/>
              </w:rPr>
              <w:t>Loss of executives to other VW brands</w:t>
            </w:r>
          </w:p>
        </w:tc>
      </w:tr>
      <w:tr w:rsidR="00AC7D50" w:rsidRPr="00CE27BF">
        <w:tc>
          <w:tcPr>
            <w:tcW w:w="4615" w:type="dxa"/>
            <w:tcMar>
              <w:left w:w="115" w:type="dxa"/>
              <w:right w:w="115" w:type="dxa"/>
            </w:tcMar>
          </w:tcPr>
          <w:p w:rsidR="00AC7D50" w:rsidRPr="00CE27BF" w:rsidRDefault="00AC7D50" w:rsidP="00E22444">
            <w:pPr>
              <w:spacing w:before="120"/>
              <w:jc w:val="center"/>
              <w:rPr>
                <w:u w:val="single"/>
              </w:rPr>
            </w:pPr>
            <w:r w:rsidRPr="00CE27BF">
              <w:rPr>
                <w:u w:val="single"/>
              </w:rPr>
              <w:lastRenderedPageBreak/>
              <w:t>OPPORTUNITIES</w:t>
            </w:r>
          </w:p>
          <w:p w:rsidR="00AC7D50" w:rsidRPr="00CE27BF" w:rsidRDefault="00AC7D50" w:rsidP="00AC7D50">
            <w:pPr>
              <w:pStyle w:val="ListParagraph"/>
              <w:numPr>
                <w:ilvl w:val="0"/>
                <w:numId w:val="35"/>
              </w:numPr>
              <w:spacing w:before="120"/>
              <w:ind w:left="144" w:hanging="144"/>
            </w:pPr>
            <w:r w:rsidRPr="00CE27BF">
              <w:t xml:space="preserve">German engineering capabilities, </w:t>
            </w:r>
            <w:r w:rsidR="00894774" w:rsidRPr="00CE27BF">
              <w:t xml:space="preserve">workforce, and </w:t>
            </w:r>
            <w:r w:rsidRPr="00CE27BF">
              <w:t xml:space="preserve">manufacturing infrastructure </w:t>
            </w:r>
          </w:p>
          <w:p w:rsidR="00AC7D50" w:rsidRPr="00CE27BF" w:rsidRDefault="00AC7D50" w:rsidP="00AC7D50">
            <w:pPr>
              <w:pStyle w:val="ListParagraph"/>
              <w:numPr>
                <w:ilvl w:val="0"/>
                <w:numId w:val="35"/>
              </w:numPr>
              <w:ind w:left="144" w:hanging="144"/>
            </w:pPr>
            <w:r w:rsidRPr="00CE27BF">
              <w:t>Other sports car makers struggling to manage cash flows and changing ownership</w:t>
            </w:r>
            <w:r w:rsidR="00190B50">
              <w:t>;</w:t>
            </w:r>
            <w:r w:rsidRPr="00CE27BF">
              <w:t xml:space="preserve"> industry instability may open up market gaps</w:t>
            </w:r>
          </w:p>
          <w:p w:rsidR="00AC7D50" w:rsidRPr="00CE27BF" w:rsidRDefault="00AC7D50" w:rsidP="00AC7D50">
            <w:pPr>
              <w:pStyle w:val="ListParagraph"/>
              <w:numPr>
                <w:ilvl w:val="0"/>
                <w:numId w:val="35"/>
              </w:numPr>
              <w:ind w:left="144" w:hanging="144"/>
            </w:pPr>
            <w:r w:rsidRPr="00CE27BF">
              <w:t>New trends for sports car enthusiasts</w:t>
            </w:r>
          </w:p>
          <w:p w:rsidR="00AC7D50" w:rsidRPr="00CE27BF" w:rsidRDefault="00AC7D50" w:rsidP="00AC7D50">
            <w:pPr>
              <w:pStyle w:val="ListParagraph"/>
              <w:numPr>
                <w:ilvl w:val="0"/>
                <w:numId w:val="35"/>
              </w:numPr>
              <w:ind w:left="144" w:hanging="144"/>
            </w:pPr>
            <w:r w:rsidRPr="00CE27BF">
              <w:t>Enormous expansion in China – most rapidly growing economy in the world has the potential to become Porsche’s largest region within just 2</w:t>
            </w:r>
            <w:r w:rsidR="00190B50">
              <w:t>–</w:t>
            </w:r>
            <w:r w:rsidRPr="00CE27BF">
              <w:t>3 years</w:t>
            </w:r>
          </w:p>
          <w:p w:rsidR="00AC7D50" w:rsidRPr="00CE27BF" w:rsidRDefault="00AC7D50" w:rsidP="00AC7D50">
            <w:pPr>
              <w:pStyle w:val="ListParagraph"/>
              <w:numPr>
                <w:ilvl w:val="0"/>
                <w:numId w:val="35"/>
              </w:numPr>
              <w:ind w:left="144" w:hanging="144"/>
            </w:pPr>
            <w:r w:rsidRPr="00CE27BF">
              <w:t>More diversification</w:t>
            </w:r>
          </w:p>
          <w:p w:rsidR="00AC7D50" w:rsidRPr="00E22444" w:rsidRDefault="00AC7D50" w:rsidP="00894774">
            <w:pPr>
              <w:pStyle w:val="ListParagraph"/>
              <w:numPr>
                <w:ilvl w:val="0"/>
                <w:numId w:val="35"/>
              </w:numPr>
              <w:spacing w:before="120"/>
              <w:ind w:left="144" w:hanging="144"/>
              <w:contextualSpacing w:val="0"/>
              <w:rPr>
                <w:color w:val="365F91" w:themeColor="accent1" w:themeShade="BF"/>
              </w:rPr>
            </w:pPr>
            <w:r w:rsidRPr="00E22444">
              <w:rPr>
                <w:b/>
                <w:color w:val="365F91" w:themeColor="accent1" w:themeShade="BF"/>
              </w:rPr>
              <w:t>VW distribution network – especially for international growth</w:t>
            </w:r>
          </w:p>
          <w:p w:rsidR="00AC7D50" w:rsidRPr="00CE27BF" w:rsidRDefault="00AC7D50" w:rsidP="00AC7D50">
            <w:pPr>
              <w:pStyle w:val="ListParagraph"/>
              <w:ind w:left="144"/>
            </w:pPr>
          </w:p>
          <w:p w:rsidR="00AC7D50" w:rsidRPr="00CE27BF" w:rsidRDefault="00AC7D50" w:rsidP="00AC7D50"/>
        </w:tc>
        <w:tc>
          <w:tcPr>
            <w:tcW w:w="4410" w:type="dxa"/>
            <w:tcMar>
              <w:left w:w="115" w:type="dxa"/>
              <w:right w:w="115" w:type="dxa"/>
            </w:tcMar>
          </w:tcPr>
          <w:p w:rsidR="00AC7D50" w:rsidRPr="00CE27BF" w:rsidRDefault="00AC7D50" w:rsidP="00E22444">
            <w:pPr>
              <w:spacing w:before="120"/>
              <w:jc w:val="center"/>
              <w:rPr>
                <w:u w:val="single"/>
              </w:rPr>
            </w:pPr>
            <w:r w:rsidRPr="00CE27BF">
              <w:rPr>
                <w:u w:val="single"/>
              </w:rPr>
              <w:t>THREATS</w:t>
            </w:r>
          </w:p>
          <w:p w:rsidR="00AC7D50" w:rsidRPr="00CE27BF" w:rsidRDefault="00AC7D50" w:rsidP="00AC7D50">
            <w:pPr>
              <w:pStyle w:val="ListParagraph"/>
              <w:numPr>
                <w:ilvl w:val="0"/>
                <w:numId w:val="37"/>
              </w:numPr>
              <w:spacing w:before="120"/>
              <w:ind w:left="144" w:hanging="144"/>
            </w:pPr>
            <w:r w:rsidRPr="00CE27BF">
              <w:t>Lingering effec</w:t>
            </w:r>
            <w:r w:rsidR="00894774">
              <w:t>t</w:t>
            </w:r>
            <w:r w:rsidR="00190B50">
              <w:t>s of global economic recession;</w:t>
            </w:r>
            <w:r w:rsidR="00894774">
              <w:t xml:space="preserve"> unemployment level</w:t>
            </w:r>
            <w:r w:rsidR="00190B50">
              <w:t xml:space="preserve"> in US</w:t>
            </w:r>
          </w:p>
          <w:p w:rsidR="00AC7D50" w:rsidRPr="00CE27BF" w:rsidRDefault="00190B50" w:rsidP="00AC7D50">
            <w:pPr>
              <w:pStyle w:val="ListParagraph"/>
              <w:numPr>
                <w:ilvl w:val="0"/>
                <w:numId w:val="37"/>
              </w:numPr>
              <w:ind w:left="144" w:hanging="144"/>
            </w:pPr>
            <w:r>
              <w:t>Oil prices;</w:t>
            </w:r>
            <w:r w:rsidR="00AC7D50" w:rsidRPr="00CE27BF">
              <w:t xml:space="preserve"> fuel costs</w:t>
            </w:r>
          </w:p>
          <w:p w:rsidR="00AC7D50" w:rsidRPr="00CE27BF" w:rsidRDefault="00AC7D50" w:rsidP="00AC7D50">
            <w:pPr>
              <w:pStyle w:val="ListParagraph"/>
              <w:numPr>
                <w:ilvl w:val="0"/>
                <w:numId w:val="37"/>
              </w:numPr>
              <w:ind w:left="144" w:hanging="144"/>
            </w:pPr>
            <w:r w:rsidRPr="00CE27BF">
              <w:t>Environmental consciousness</w:t>
            </w:r>
          </w:p>
          <w:p w:rsidR="00AC7D50" w:rsidRPr="00CE27BF" w:rsidRDefault="00AC7D50" w:rsidP="00AC7D50">
            <w:pPr>
              <w:pStyle w:val="ListParagraph"/>
              <w:numPr>
                <w:ilvl w:val="0"/>
                <w:numId w:val="37"/>
              </w:numPr>
              <w:ind w:left="144" w:hanging="144"/>
            </w:pPr>
            <w:r w:rsidRPr="00CE27BF">
              <w:t>I</w:t>
            </w:r>
            <w:r w:rsidR="00190B50">
              <w:t xml:space="preserve">mpending CAFE standards in US </w:t>
            </w:r>
            <w:r w:rsidRPr="00CE27BF">
              <w:t>(where</w:t>
            </w:r>
            <w:r w:rsidR="00190B50">
              <w:t xml:space="preserve"> Porsche has 26% of its sales);</w:t>
            </w:r>
            <w:r w:rsidRPr="00CE27BF">
              <w:t xml:space="preserve"> </w:t>
            </w:r>
            <w:r w:rsidR="00190B50">
              <w:t>may be unable to compete in US</w:t>
            </w:r>
            <w:r w:rsidRPr="00CE27BF">
              <w:t xml:space="preserve"> after 2020 if policies are enforced</w:t>
            </w:r>
          </w:p>
          <w:p w:rsidR="00AC7D50" w:rsidRPr="00CE27BF" w:rsidRDefault="00AC7D50" w:rsidP="00AC7D50">
            <w:pPr>
              <w:pStyle w:val="ListParagraph"/>
              <w:numPr>
                <w:ilvl w:val="0"/>
                <w:numId w:val="37"/>
              </w:numPr>
              <w:ind w:left="144" w:hanging="144"/>
            </w:pPr>
            <w:r w:rsidRPr="00CE27BF">
              <w:t>Failure to keep up with trends important to target customers</w:t>
            </w:r>
          </w:p>
          <w:p w:rsidR="00AC7D50" w:rsidRPr="00CE27BF" w:rsidRDefault="00AC7D50" w:rsidP="00AC7D50">
            <w:pPr>
              <w:pStyle w:val="ListParagraph"/>
              <w:numPr>
                <w:ilvl w:val="0"/>
                <w:numId w:val="37"/>
              </w:numPr>
              <w:ind w:left="144" w:hanging="144"/>
            </w:pPr>
            <w:r w:rsidRPr="00CE27BF">
              <w:t>Unpredictable behavior of Chinese government and uncertainty related to undervalued Chinese currency</w:t>
            </w:r>
          </w:p>
          <w:p w:rsidR="00AC7D50" w:rsidRPr="00CE27BF" w:rsidRDefault="00AC7D50" w:rsidP="00AC7D50">
            <w:pPr>
              <w:pStyle w:val="ListParagraph"/>
              <w:numPr>
                <w:ilvl w:val="0"/>
                <w:numId w:val="37"/>
              </w:numPr>
              <w:ind w:left="144" w:hanging="144"/>
            </w:pPr>
            <w:r w:rsidRPr="00CE27BF">
              <w:t>Economic and political risks of international expansion</w:t>
            </w:r>
          </w:p>
          <w:p w:rsidR="00AC7D50" w:rsidRPr="00CE27BF" w:rsidRDefault="00AC7D50" w:rsidP="00AC7D50">
            <w:pPr>
              <w:pStyle w:val="ListParagraph"/>
              <w:numPr>
                <w:ilvl w:val="0"/>
                <w:numId w:val="37"/>
              </w:numPr>
              <w:ind w:left="144" w:hanging="144"/>
            </w:pPr>
            <w:r w:rsidRPr="00CE27BF">
              <w:t>Changing customer preferences</w:t>
            </w:r>
          </w:p>
          <w:p w:rsidR="00AC7D50" w:rsidRPr="00E22444" w:rsidRDefault="00AC7D50" w:rsidP="00894774">
            <w:pPr>
              <w:pStyle w:val="ListParagraph"/>
              <w:numPr>
                <w:ilvl w:val="0"/>
                <w:numId w:val="37"/>
              </w:numPr>
              <w:spacing w:before="120"/>
              <w:ind w:left="144" w:hanging="144"/>
              <w:contextualSpacing w:val="0"/>
              <w:rPr>
                <w:color w:val="365F91" w:themeColor="accent1" w:themeShade="BF"/>
              </w:rPr>
            </w:pPr>
            <w:r w:rsidRPr="00E22444">
              <w:rPr>
                <w:b/>
                <w:color w:val="365F91" w:themeColor="accent1" w:themeShade="BF"/>
              </w:rPr>
              <w:t>Intra-corporate sports car competition</w:t>
            </w:r>
          </w:p>
          <w:p w:rsidR="00AC7D50" w:rsidRPr="00CE27BF" w:rsidRDefault="00AC7D50" w:rsidP="00894774">
            <w:pPr>
              <w:pStyle w:val="ListParagraph"/>
              <w:numPr>
                <w:ilvl w:val="0"/>
                <w:numId w:val="37"/>
              </w:numPr>
              <w:ind w:left="144" w:hanging="144"/>
            </w:pPr>
            <w:r w:rsidRPr="00E22444">
              <w:rPr>
                <w:b/>
                <w:color w:val="365F91" w:themeColor="accent1" w:themeShade="BF"/>
              </w:rPr>
              <w:t>Lo</w:t>
            </w:r>
            <w:r w:rsidR="00894774">
              <w:rPr>
                <w:b/>
                <w:color w:val="365F91" w:themeColor="accent1" w:themeShade="BF"/>
              </w:rPr>
              <w:t xml:space="preserve">ss of brand value for loyal Porsche </w:t>
            </w:r>
            <w:r w:rsidRPr="00E22444">
              <w:rPr>
                <w:b/>
                <w:color w:val="365F91" w:themeColor="accent1" w:themeShade="BF"/>
              </w:rPr>
              <w:t>purists</w:t>
            </w:r>
          </w:p>
        </w:tc>
      </w:tr>
    </w:tbl>
    <w:p w:rsidR="00CE27BF" w:rsidRDefault="00CE27BF" w:rsidP="00B64C67"/>
    <w:p w:rsidR="00AC7D50" w:rsidRDefault="00AC7D50" w:rsidP="00B64C67">
      <w:pPr>
        <w:rPr>
          <w:bCs/>
        </w:rPr>
      </w:pPr>
      <w:r>
        <w:rPr>
          <w:bCs/>
        </w:rPr>
        <w:tab/>
      </w:r>
      <w:r w:rsidR="00E22444">
        <w:t xml:space="preserve">At present, Porsche offers </w:t>
      </w:r>
      <w:r w:rsidR="00E22444">
        <w:rPr>
          <w:bCs/>
        </w:rPr>
        <w:t>five high-performance vehicle models, including three spo</w:t>
      </w:r>
      <w:r w:rsidR="00190B50">
        <w:rPr>
          <w:bCs/>
        </w:rPr>
        <w:t xml:space="preserve">rts cars, an SUV, and a sedan. </w:t>
      </w:r>
      <w:r w:rsidR="00E22444">
        <w:t xml:space="preserve">With hybrid versions of the Cayenne and </w:t>
      </w:r>
      <w:proofErr w:type="spellStart"/>
      <w:r w:rsidR="00E22444">
        <w:t>Panamera</w:t>
      </w:r>
      <w:proofErr w:type="spellEnd"/>
      <w:r w:rsidR="00E22444">
        <w:t xml:space="preserve">, the </w:t>
      </w:r>
      <w:r w:rsidR="00894774">
        <w:t xml:space="preserve">entire </w:t>
      </w:r>
      <w:r w:rsidR="00190B50">
        <w:t xml:space="preserve">line includes 40 trim levels. </w:t>
      </w:r>
      <w:r w:rsidR="00E22444">
        <w:t>In addition, the company pr</w:t>
      </w:r>
      <w:r w:rsidR="00190B50">
        <w:t>oduces “track-ready” race cars.</w:t>
      </w:r>
      <w:r w:rsidR="00E22444">
        <w:t xml:space="preserve"> </w:t>
      </w:r>
      <w:r w:rsidR="00B04520">
        <w:rPr>
          <w:bCs/>
        </w:rPr>
        <w:t xml:space="preserve">Porsche’s distinguished product line is detailed below, along with new product introductions which are already in the pipeline.  </w:t>
      </w:r>
    </w:p>
    <w:p w:rsidR="00B64C67" w:rsidRDefault="00A92E6A" w:rsidP="00B64C67">
      <w:pPr>
        <w:rPr>
          <w:bCs/>
        </w:rPr>
      </w:pPr>
      <w:r>
        <w:rPr>
          <w:bCs/>
        </w:rPr>
        <w:tab/>
      </w:r>
    </w:p>
    <w:p w:rsidR="001D2670" w:rsidRDefault="00AC7D50" w:rsidP="00E22444">
      <w:pPr>
        <w:ind w:left="720"/>
        <w:rPr>
          <w:u w:val="single"/>
        </w:rPr>
      </w:pPr>
      <w:r>
        <w:rPr>
          <w:u w:val="single"/>
        </w:rPr>
        <w:lastRenderedPageBreak/>
        <w:t>Current Product Line</w:t>
      </w:r>
    </w:p>
    <w:p w:rsidR="00AC7D50" w:rsidRDefault="00AC7D50" w:rsidP="00E22444">
      <w:pPr>
        <w:spacing w:before="120"/>
        <w:ind w:left="1080"/>
      </w:pPr>
      <w:r>
        <w:t>1964</w:t>
      </w:r>
      <w:r>
        <w:tab/>
        <w:t xml:space="preserve"> (20)    </w:t>
      </w:r>
      <w:r w:rsidRPr="00B04520">
        <w:rPr>
          <w:i/>
        </w:rPr>
        <w:t>911</w:t>
      </w:r>
      <w:r>
        <w:tab/>
      </w:r>
      <w:r>
        <w:tab/>
        <w:t>famous sports car with 20 variations</w:t>
      </w:r>
    </w:p>
    <w:p w:rsidR="00AC7D50" w:rsidRDefault="00AC7D50" w:rsidP="00E22444">
      <w:pPr>
        <w:ind w:left="1080"/>
      </w:pPr>
      <w:r>
        <w:t>1996</w:t>
      </w:r>
      <w:r>
        <w:tab/>
        <w:t xml:space="preserve">  (4)     </w:t>
      </w:r>
      <w:proofErr w:type="spellStart"/>
      <w:r w:rsidRPr="00B04520">
        <w:rPr>
          <w:i/>
        </w:rPr>
        <w:t>Boxter</w:t>
      </w:r>
      <w:proofErr w:type="spellEnd"/>
      <w:r>
        <w:tab/>
      </w:r>
      <w:r>
        <w:tab/>
        <w:t>mid-engine production sports car</w:t>
      </w:r>
    </w:p>
    <w:p w:rsidR="00AC7D50" w:rsidRDefault="00AC7D50" w:rsidP="00E22444">
      <w:pPr>
        <w:ind w:left="1080"/>
      </w:pPr>
      <w:r>
        <w:t>2002</w:t>
      </w:r>
      <w:r>
        <w:tab/>
        <w:t xml:space="preserve">  (4)     </w:t>
      </w:r>
      <w:r w:rsidRPr="00B04520">
        <w:rPr>
          <w:i/>
        </w:rPr>
        <w:t>Cayenne</w:t>
      </w:r>
      <w:r>
        <w:tab/>
        <w:t>SUV</w:t>
      </w:r>
    </w:p>
    <w:p w:rsidR="00AC7D50" w:rsidRDefault="00AC7D50" w:rsidP="00E22444">
      <w:pPr>
        <w:ind w:left="1080"/>
      </w:pPr>
      <w:r>
        <w:t>2005</w:t>
      </w:r>
      <w:r>
        <w:tab/>
        <w:t xml:space="preserve">  (3)     </w:t>
      </w:r>
      <w:r w:rsidR="00190B50">
        <w:rPr>
          <w:i/>
        </w:rPr>
        <w:t>Cayma</w:t>
      </w:r>
      <w:r w:rsidRPr="00B04520">
        <w:rPr>
          <w:i/>
        </w:rPr>
        <w:t>n</w:t>
      </w:r>
      <w:r>
        <w:tab/>
        <w:t xml:space="preserve">hard-top version of </w:t>
      </w:r>
      <w:proofErr w:type="spellStart"/>
      <w:r>
        <w:t>Boxter</w:t>
      </w:r>
      <w:proofErr w:type="spellEnd"/>
    </w:p>
    <w:p w:rsidR="00AC7D50" w:rsidRPr="00AC7D50" w:rsidRDefault="00AC7D50" w:rsidP="00E22444">
      <w:pPr>
        <w:ind w:left="1080"/>
      </w:pPr>
      <w:r>
        <w:t>2009</w:t>
      </w:r>
      <w:r>
        <w:tab/>
        <w:t xml:space="preserve">  (7)     </w:t>
      </w:r>
      <w:proofErr w:type="spellStart"/>
      <w:r w:rsidRPr="00B04520">
        <w:rPr>
          <w:i/>
        </w:rPr>
        <w:t>Panamera</w:t>
      </w:r>
      <w:proofErr w:type="spellEnd"/>
      <w:r w:rsidRPr="00B04520">
        <w:rPr>
          <w:i/>
        </w:rPr>
        <w:t xml:space="preserve"> </w:t>
      </w:r>
      <w:r>
        <w:tab/>
        <w:t>4-door sedan</w:t>
      </w:r>
    </w:p>
    <w:p w:rsidR="00B64C67" w:rsidRPr="00AC7D50" w:rsidRDefault="00AC7D50" w:rsidP="00E22444">
      <w:pPr>
        <w:spacing w:before="120"/>
        <w:ind w:left="720"/>
        <w:rPr>
          <w:u w:val="single"/>
        </w:rPr>
      </w:pPr>
      <w:r>
        <w:rPr>
          <w:u w:val="single"/>
        </w:rPr>
        <w:t>Planned New Product Introduction</w:t>
      </w:r>
      <w:r w:rsidR="00894774">
        <w:rPr>
          <w:u w:val="single"/>
        </w:rPr>
        <w:t>s</w:t>
      </w:r>
    </w:p>
    <w:p w:rsidR="00EB1F8B" w:rsidRDefault="00AC7D50" w:rsidP="00E22444">
      <w:pPr>
        <w:spacing w:before="120"/>
        <w:ind w:left="1080"/>
      </w:pPr>
      <w:r>
        <w:t xml:space="preserve">Ready to launch    </w:t>
      </w:r>
      <w:r w:rsidRPr="00B04520">
        <w:rPr>
          <w:i/>
        </w:rPr>
        <w:t>Cajun</w:t>
      </w:r>
      <w:r>
        <w:tab/>
      </w:r>
      <w:r>
        <w:tab/>
        <w:t>smaller, more fuel-efficient SUV</w:t>
      </w:r>
    </w:p>
    <w:p w:rsidR="00AC7D50" w:rsidRDefault="00AC7D50" w:rsidP="00E22444">
      <w:pPr>
        <w:ind w:left="1080"/>
      </w:pPr>
      <w:r>
        <w:t>2013</w:t>
      </w:r>
      <w:r>
        <w:tab/>
      </w:r>
      <w:r>
        <w:tab/>
      </w:r>
      <w:r w:rsidRPr="00B04520">
        <w:rPr>
          <w:i/>
        </w:rPr>
        <w:t>unnamed</w:t>
      </w:r>
      <w:r>
        <w:tab/>
        <w:t xml:space="preserve">smaller version of </w:t>
      </w:r>
      <w:proofErr w:type="spellStart"/>
      <w:r>
        <w:t>Boxter</w:t>
      </w:r>
      <w:proofErr w:type="spellEnd"/>
    </w:p>
    <w:p w:rsidR="00EB1F8B" w:rsidRDefault="00EB1F8B" w:rsidP="00B64C67"/>
    <w:p w:rsidR="00B04520" w:rsidRDefault="00B04520" w:rsidP="00B64C67">
      <w:r>
        <w:tab/>
        <w:t xml:space="preserve">Porsche competes mainly with other </w:t>
      </w:r>
      <w:r w:rsidR="00894774">
        <w:t>luxury</w:t>
      </w:r>
      <w:r>
        <w:t xml:space="preserve"> brands</w:t>
      </w:r>
      <w:r w:rsidR="00E22444">
        <w:t xml:space="preserve"> along such dimensions as price, speed, interior features, style, power, and other options</w:t>
      </w:r>
      <w:r w:rsidR="00190B50">
        <w:t xml:space="preserve">. </w:t>
      </w:r>
      <w:r w:rsidR="00894774">
        <w:t>Competitor</w:t>
      </w:r>
      <w:r>
        <w:t xml:space="preserve"> </w:t>
      </w:r>
      <w:r w:rsidR="00E22444">
        <w:t xml:space="preserve">products found in the </w:t>
      </w:r>
      <w:r>
        <w:t xml:space="preserve">marketplace are </w:t>
      </w:r>
      <w:r w:rsidR="00E22444">
        <w:t>matche</w:t>
      </w:r>
      <w:r>
        <w:t xml:space="preserve">d </w:t>
      </w:r>
      <w:r w:rsidR="00E22444">
        <w:t xml:space="preserve">against Porsche’s models </w:t>
      </w:r>
      <w:r>
        <w:t>in the table below.</w:t>
      </w:r>
    </w:p>
    <w:p w:rsidR="00B04520" w:rsidRDefault="00B04520" w:rsidP="00B64C67"/>
    <w:tbl>
      <w:tblPr>
        <w:tblStyle w:val="LightShading-Accent1"/>
        <w:tblW w:w="8910" w:type="dxa"/>
        <w:tblLayout w:type="fixed"/>
        <w:tblLook w:val="04A0"/>
      </w:tblPr>
      <w:tblGrid>
        <w:gridCol w:w="1548"/>
        <w:gridCol w:w="3024"/>
        <w:gridCol w:w="4338"/>
      </w:tblGrid>
      <w:tr w:rsidR="00202C8C">
        <w:trPr>
          <w:cnfStyle w:val="100000000000"/>
        </w:trPr>
        <w:tc>
          <w:tcPr>
            <w:cnfStyle w:val="001000000000"/>
            <w:tcW w:w="1548" w:type="dxa"/>
            <w:tcBorders>
              <w:bottom w:val="single" w:sz="24" w:space="0" w:color="4F81BD" w:themeColor="accent1"/>
              <w:right w:val="single" w:sz="8" w:space="0" w:color="4F81BD" w:themeColor="accent1"/>
            </w:tcBorders>
            <w:shd w:val="clear" w:color="auto" w:fill="auto"/>
          </w:tcPr>
          <w:p w:rsidR="00B04520" w:rsidRDefault="00E22444" w:rsidP="00B64C67">
            <w:r>
              <w:t>Model</w:t>
            </w:r>
          </w:p>
        </w:tc>
        <w:tc>
          <w:tcPr>
            <w:tcW w:w="3024" w:type="dxa"/>
            <w:tcBorders>
              <w:left w:val="single" w:sz="8" w:space="0" w:color="4F81BD" w:themeColor="accent1"/>
              <w:bottom w:val="single" w:sz="24" w:space="0" w:color="4F81BD" w:themeColor="accent1"/>
              <w:right w:val="single" w:sz="8" w:space="0" w:color="4F81BD" w:themeColor="accent1"/>
            </w:tcBorders>
            <w:shd w:val="clear" w:color="auto" w:fill="auto"/>
          </w:tcPr>
          <w:p w:rsidR="00B04520" w:rsidRDefault="00E22444" w:rsidP="00894774">
            <w:pPr>
              <w:cnfStyle w:val="100000000000"/>
            </w:pPr>
            <w:r>
              <w:t>Competit</w:t>
            </w:r>
            <w:r w:rsidR="00894774">
              <w:t>or</w:t>
            </w:r>
            <w:r>
              <w:t xml:space="preserve"> Products</w:t>
            </w:r>
          </w:p>
        </w:tc>
        <w:tc>
          <w:tcPr>
            <w:tcW w:w="4338" w:type="dxa"/>
            <w:tcBorders>
              <w:left w:val="single" w:sz="8" w:space="0" w:color="4F81BD" w:themeColor="accent1"/>
              <w:bottom w:val="single" w:sz="24" w:space="0" w:color="4F81BD" w:themeColor="accent1"/>
            </w:tcBorders>
            <w:shd w:val="clear" w:color="auto" w:fill="auto"/>
          </w:tcPr>
          <w:p w:rsidR="00B04520" w:rsidRDefault="00E22444" w:rsidP="00B64C67">
            <w:pPr>
              <w:cnfStyle w:val="100000000000"/>
            </w:pPr>
            <w:r>
              <w:t>Comparison of Features</w:t>
            </w:r>
          </w:p>
        </w:tc>
      </w:tr>
      <w:tr w:rsidR="00B04520">
        <w:trPr>
          <w:cnfStyle w:val="000000100000"/>
        </w:trPr>
        <w:tc>
          <w:tcPr>
            <w:cnfStyle w:val="001000000000"/>
            <w:tcW w:w="1548" w:type="dxa"/>
            <w:tcBorders>
              <w:top w:val="single" w:sz="24" w:space="0" w:color="4F81BD" w:themeColor="accent1"/>
              <w:bottom w:val="single" w:sz="8" w:space="0" w:color="4F81BD" w:themeColor="accent1"/>
              <w:right w:val="single" w:sz="8" w:space="0" w:color="4F81BD" w:themeColor="accent1"/>
            </w:tcBorders>
            <w:shd w:val="clear" w:color="auto" w:fill="auto"/>
          </w:tcPr>
          <w:p w:rsidR="00B04520" w:rsidRPr="00B04520" w:rsidRDefault="00B04520" w:rsidP="00B64C67">
            <w:pPr>
              <w:rPr>
                <w:b w:val="0"/>
                <w:color w:val="auto"/>
              </w:rPr>
            </w:pPr>
            <w:r w:rsidRPr="00B04520">
              <w:rPr>
                <w:i/>
                <w:color w:val="auto"/>
              </w:rPr>
              <w:t>Cayenne</w:t>
            </w:r>
          </w:p>
        </w:tc>
        <w:tc>
          <w:tcPr>
            <w:tcW w:w="3024"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rsidR="00B04520" w:rsidRPr="00B04520" w:rsidRDefault="00B04520" w:rsidP="00B64C67">
            <w:pPr>
              <w:cnfStyle w:val="000000100000"/>
              <w:rPr>
                <w:color w:val="auto"/>
              </w:rPr>
            </w:pPr>
            <w:r w:rsidRPr="00B04520">
              <w:rPr>
                <w:color w:val="auto"/>
              </w:rPr>
              <w:t>BMW X6M</w:t>
            </w:r>
          </w:p>
        </w:tc>
        <w:tc>
          <w:tcPr>
            <w:tcW w:w="4338" w:type="dxa"/>
            <w:tcBorders>
              <w:top w:val="single" w:sz="24" w:space="0" w:color="4F81BD" w:themeColor="accent1"/>
              <w:left w:val="single" w:sz="8" w:space="0" w:color="4F81BD" w:themeColor="accent1"/>
              <w:bottom w:val="single" w:sz="8" w:space="0" w:color="4F81BD" w:themeColor="accent1"/>
            </w:tcBorders>
            <w:shd w:val="clear" w:color="auto" w:fill="auto"/>
          </w:tcPr>
          <w:p w:rsidR="00B04520" w:rsidRPr="00B04520" w:rsidRDefault="00B04520" w:rsidP="00B64C67">
            <w:pPr>
              <w:cnfStyle w:val="000000100000"/>
              <w:rPr>
                <w:color w:val="auto"/>
              </w:rPr>
            </w:pPr>
            <w:r>
              <w:rPr>
                <w:color w:val="auto"/>
              </w:rPr>
              <w:t>Slightly faster</w:t>
            </w:r>
          </w:p>
        </w:tc>
      </w:tr>
      <w:tr w:rsidR="00B04520">
        <w:tc>
          <w:tcPr>
            <w:cnfStyle w:val="001000000000"/>
            <w:tcW w:w="1548" w:type="dxa"/>
            <w:vMerge w:val="restart"/>
            <w:tcBorders>
              <w:top w:val="single" w:sz="8" w:space="0" w:color="4F81BD" w:themeColor="accent1"/>
              <w:bottom w:val="single" w:sz="8" w:space="0" w:color="4F81BD" w:themeColor="accent1"/>
              <w:right w:val="single" w:sz="8" w:space="0" w:color="4F81BD" w:themeColor="accent1"/>
            </w:tcBorders>
            <w:shd w:val="clear" w:color="auto" w:fill="auto"/>
            <w:vAlign w:val="center"/>
          </w:tcPr>
          <w:p w:rsidR="00B04520" w:rsidRPr="00190B50" w:rsidRDefault="00B04520" w:rsidP="00B04520">
            <w:pPr>
              <w:rPr>
                <w:b w:val="0"/>
                <w:color w:val="auto"/>
                <w:szCs w:val="22"/>
              </w:rPr>
            </w:pPr>
            <w:r w:rsidRPr="00190B50">
              <w:rPr>
                <w:b w:val="0"/>
                <w:color w:val="1F497D" w:themeColor="text2"/>
                <w:szCs w:val="22"/>
              </w:rPr>
              <w:t>Very competitive arena.</w:t>
            </w: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tcPr>
          <w:p w:rsidR="00B04520" w:rsidRPr="00B04520" w:rsidRDefault="00B04520" w:rsidP="00B64C67">
            <w:pPr>
              <w:cnfStyle w:val="000000000000"/>
              <w:rPr>
                <w:color w:val="auto"/>
              </w:rPr>
            </w:pPr>
            <w:r>
              <w:rPr>
                <w:color w:val="auto"/>
              </w:rPr>
              <w:t>Mercedes-Benz ML63 AMG</w:t>
            </w:r>
          </w:p>
        </w:tc>
        <w:tc>
          <w:tcPr>
            <w:tcW w:w="4338" w:type="dxa"/>
            <w:tcBorders>
              <w:top w:val="single" w:sz="8" w:space="0" w:color="4F81BD" w:themeColor="accent1"/>
              <w:left w:val="single" w:sz="8" w:space="0" w:color="4F81BD" w:themeColor="accent1"/>
              <w:bottom w:val="single" w:sz="8" w:space="0" w:color="4F81BD" w:themeColor="accent1"/>
            </w:tcBorders>
            <w:shd w:val="clear" w:color="auto" w:fill="C6D9F1" w:themeFill="text2" w:themeFillTint="33"/>
          </w:tcPr>
          <w:p w:rsidR="00B04520" w:rsidRDefault="00B04520" w:rsidP="00B64C67">
            <w:pPr>
              <w:cnfStyle w:val="000000000000"/>
              <w:rPr>
                <w:color w:val="auto"/>
              </w:rPr>
            </w:pPr>
            <w:r>
              <w:rPr>
                <w:color w:val="auto"/>
              </w:rPr>
              <w:t>Less expensive</w:t>
            </w:r>
          </w:p>
          <w:p w:rsidR="00B04520" w:rsidRPr="00B04520" w:rsidRDefault="00B04520" w:rsidP="00B64C67">
            <w:pPr>
              <w:cnfStyle w:val="000000000000"/>
              <w:rPr>
                <w:color w:val="auto"/>
              </w:rPr>
            </w:pPr>
            <w:r>
              <w:rPr>
                <w:color w:val="auto"/>
              </w:rPr>
              <w:t xml:space="preserve">Slower </w:t>
            </w:r>
          </w:p>
        </w:tc>
      </w:tr>
      <w:tr w:rsidR="00B04520">
        <w:trPr>
          <w:cnfStyle w:val="000000100000"/>
        </w:trPr>
        <w:tc>
          <w:tcPr>
            <w:cnfStyle w:val="001000000000"/>
            <w:tcW w:w="1548" w:type="dxa"/>
            <w:vMerge/>
            <w:tcBorders>
              <w:top w:val="single" w:sz="8" w:space="0" w:color="4F81BD" w:themeColor="accent1"/>
              <w:bottom w:val="single" w:sz="24" w:space="0" w:color="4F81BD" w:themeColor="accent1"/>
              <w:right w:val="single" w:sz="8" w:space="0" w:color="4F81BD" w:themeColor="accent1"/>
            </w:tcBorders>
            <w:shd w:val="clear" w:color="auto" w:fill="auto"/>
          </w:tcPr>
          <w:p w:rsidR="00B04520" w:rsidRPr="00B04520" w:rsidRDefault="00B04520" w:rsidP="00B64C67">
            <w:pPr>
              <w:rPr>
                <w:color w:val="auto"/>
              </w:rPr>
            </w:pPr>
          </w:p>
        </w:tc>
        <w:tc>
          <w:tcPr>
            <w:tcW w:w="3024" w:type="dxa"/>
            <w:tcBorders>
              <w:top w:val="single" w:sz="8" w:space="0" w:color="4F81BD" w:themeColor="accent1"/>
              <w:left w:val="single" w:sz="8" w:space="0" w:color="4F81BD" w:themeColor="accent1"/>
              <w:bottom w:val="single" w:sz="24" w:space="0" w:color="4F81BD" w:themeColor="accent1"/>
              <w:right w:val="single" w:sz="8" w:space="0" w:color="4F81BD" w:themeColor="accent1"/>
            </w:tcBorders>
            <w:shd w:val="clear" w:color="auto" w:fill="auto"/>
          </w:tcPr>
          <w:p w:rsidR="00B04520" w:rsidRPr="00B04520" w:rsidRDefault="00B04520" w:rsidP="00B04520">
            <w:pPr>
              <w:cnfStyle w:val="000000100000"/>
              <w:rPr>
                <w:color w:val="auto"/>
              </w:rPr>
            </w:pPr>
            <w:r>
              <w:rPr>
                <w:color w:val="auto"/>
              </w:rPr>
              <w:t>Audi Q7</w:t>
            </w:r>
          </w:p>
        </w:tc>
        <w:tc>
          <w:tcPr>
            <w:tcW w:w="4338" w:type="dxa"/>
            <w:tcBorders>
              <w:top w:val="single" w:sz="8" w:space="0" w:color="4F81BD" w:themeColor="accent1"/>
              <w:left w:val="single" w:sz="8" w:space="0" w:color="4F81BD" w:themeColor="accent1"/>
              <w:bottom w:val="single" w:sz="24" w:space="0" w:color="4F81BD" w:themeColor="accent1"/>
            </w:tcBorders>
            <w:shd w:val="clear" w:color="auto" w:fill="auto"/>
          </w:tcPr>
          <w:p w:rsidR="00B04520" w:rsidRDefault="00B04520" w:rsidP="00B64C67">
            <w:pPr>
              <w:cnfStyle w:val="000000100000"/>
              <w:rPr>
                <w:color w:val="auto"/>
              </w:rPr>
            </w:pPr>
            <w:r>
              <w:rPr>
                <w:color w:val="auto"/>
              </w:rPr>
              <w:t>Slowest of the pack</w:t>
            </w:r>
          </w:p>
          <w:p w:rsidR="00B04520" w:rsidRPr="00B04520" w:rsidRDefault="00B04520" w:rsidP="00B64C67">
            <w:pPr>
              <w:cnfStyle w:val="000000100000"/>
              <w:rPr>
                <w:color w:val="auto"/>
              </w:rPr>
            </w:pPr>
            <w:r>
              <w:rPr>
                <w:color w:val="auto"/>
              </w:rPr>
              <w:t>More interior space and torque than ML63</w:t>
            </w:r>
          </w:p>
        </w:tc>
      </w:tr>
      <w:tr w:rsidR="00202C8C">
        <w:tc>
          <w:tcPr>
            <w:cnfStyle w:val="001000000000"/>
            <w:tcW w:w="1548" w:type="dxa"/>
            <w:tcBorders>
              <w:top w:val="single" w:sz="24" w:space="0" w:color="4F81BD" w:themeColor="accent1"/>
              <w:bottom w:val="single" w:sz="8" w:space="0" w:color="4F81BD" w:themeColor="accent1"/>
              <w:right w:val="single" w:sz="8" w:space="0" w:color="4F81BD" w:themeColor="accent1"/>
            </w:tcBorders>
            <w:shd w:val="clear" w:color="auto" w:fill="auto"/>
          </w:tcPr>
          <w:p w:rsidR="00B04520" w:rsidRPr="00B04520" w:rsidRDefault="00B04520" w:rsidP="00B64C67">
            <w:pPr>
              <w:rPr>
                <w:i/>
                <w:color w:val="auto"/>
              </w:rPr>
            </w:pPr>
            <w:proofErr w:type="spellStart"/>
            <w:r w:rsidRPr="00B04520">
              <w:rPr>
                <w:i/>
                <w:color w:val="auto"/>
              </w:rPr>
              <w:t>Panamera</w:t>
            </w:r>
            <w:proofErr w:type="spellEnd"/>
          </w:p>
        </w:tc>
        <w:tc>
          <w:tcPr>
            <w:tcW w:w="3024"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rsidR="00B04520" w:rsidRPr="00B04520" w:rsidRDefault="00B04520" w:rsidP="00B64C67">
            <w:pPr>
              <w:cnfStyle w:val="000000000000"/>
              <w:rPr>
                <w:color w:val="auto"/>
              </w:rPr>
            </w:pPr>
            <w:r>
              <w:rPr>
                <w:color w:val="auto"/>
              </w:rPr>
              <w:t>BMW M5</w:t>
            </w:r>
          </w:p>
        </w:tc>
        <w:tc>
          <w:tcPr>
            <w:tcW w:w="4338" w:type="dxa"/>
            <w:tcBorders>
              <w:top w:val="single" w:sz="24" w:space="0" w:color="4F81BD" w:themeColor="accent1"/>
              <w:left w:val="single" w:sz="8" w:space="0" w:color="4F81BD" w:themeColor="accent1"/>
              <w:bottom w:val="single" w:sz="8" w:space="0" w:color="4F81BD" w:themeColor="accent1"/>
            </w:tcBorders>
            <w:shd w:val="clear" w:color="auto" w:fill="auto"/>
          </w:tcPr>
          <w:p w:rsidR="00B04520" w:rsidRDefault="00B04520" w:rsidP="00B64C67">
            <w:pPr>
              <w:cnfStyle w:val="000000000000"/>
              <w:rPr>
                <w:color w:val="auto"/>
              </w:rPr>
            </w:pPr>
            <w:r>
              <w:rPr>
                <w:color w:val="auto"/>
              </w:rPr>
              <w:t>Sporty luxury sedan</w:t>
            </w:r>
          </w:p>
          <w:p w:rsidR="00B04520" w:rsidRPr="00B04520" w:rsidRDefault="00B04520" w:rsidP="00B64C67">
            <w:pPr>
              <w:cnfStyle w:val="000000000000"/>
              <w:rPr>
                <w:color w:val="auto"/>
              </w:rPr>
            </w:pPr>
            <w:r>
              <w:rPr>
                <w:color w:val="auto"/>
              </w:rPr>
              <w:t>Slower</w:t>
            </w:r>
          </w:p>
        </w:tc>
      </w:tr>
      <w:tr w:rsidR="00B04520">
        <w:trPr>
          <w:cnfStyle w:val="000000100000"/>
        </w:trPr>
        <w:tc>
          <w:tcPr>
            <w:cnfStyle w:val="001000000000"/>
            <w:tcW w:w="1548" w:type="dxa"/>
            <w:vMerge w:val="restart"/>
            <w:tcBorders>
              <w:top w:val="single" w:sz="8" w:space="0" w:color="4F81BD" w:themeColor="accent1"/>
              <w:bottom w:val="single" w:sz="8" w:space="0" w:color="4F81BD" w:themeColor="accent1"/>
              <w:right w:val="single" w:sz="8" w:space="0" w:color="4F81BD" w:themeColor="accent1"/>
            </w:tcBorders>
            <w:shd w:val="clear" w:color="auto" w:fill="auto"/>
            <w:vAlign w:val="center"/>
          </w:tcPr>
          <w:p w:rsidR="00B04520" w:rsidRPr="00202C8C" w:rsidRDefault="00B04520" w:rsidP="00B04520">
            <w:pPr>
              <w:rPr>
                <w:b w:val="0"/>
                <w:color w:val="1F497D" w:themeColor="text2"/>
              </w:rPr>
            </w:pPr>
            <w:r w:rsidRPr="00202C8C">
              <w:rPr>
                <w:b w:val="0"/>
                <w:color w:val="1F497D" w:themeColor="text2"/>
              </w:rPr>
              <w:t>Fastest luxury sedan in the world.</w:t>
            </w: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tcPr>
          <w:p w:rsidR="00B04520" w:rsidRPr="00202C8C" w:rsidRDefault="00B04520" w:rsidP="00B64C67">
            <w:pPr>
              <w:cnfStyle w:val="000000100000"/>
              <w:rPr>
                <w:color w:val="1F497D" w:themeColor="text2"/>
              </w:rPr>
            </w:pPr>
            <w:r w:rsidRPr="00202C8C">
              <w:rPr>
                <w:color w:val="1F497D" w:themeColor="text2"/>
              </w:rPr>
              <w:t>Mercedes-Benz S65 AMG</w:t>
            </w:r>
          </w:p>
        </w:tc>
        <w:tc>
          <w:tcPr>
            <w:tcW w:w="4338" w:type="dxa"/>
            <w:tcBorders>
              <w:top w:val="single" w:sz="8" w:space="0" w:color="4F81BD" w:themeColor="accent1"/>
              <w:left w:val="single" w:sz="8" w:space="0" w:color="4F81BD" w:themeColor="accent1"/>
              <w:bottom w:val="single" w:sz="8" w:space="0" w:color="4F81BD" w:themeColor="accent1"/>
            </w:tcBorders>
            <w:shd w:val="clear" w:color="auto" w:fill="C6D9F1" w:themeFill="text2" w:themeFillTint="33"/>
          </w:tcPr>
          <w:p w:rsidR="00B04520" w:rsidRDefault="00B04520" w:rsidP="00B64C67">
            <w:pPr>
              <w:cnfStyle w:val="000000100000"/>
              <w:rPr>
                <w:color w:val="auto"/>
              </w:rPr>
            </w:pPr>
            <w:r>
              <w:rPr>
                <w:color w:val="auto"/>
              </w:rPr>
              <w:t xml:space="preserve">Only </w:t>
            </w:r>
            <w:r w:rsidR="00CB626B">
              <w:rPr>
                <w:color w:val="auto"/>
              </w:rPr>
              <w:t>model to offer standard gear box</w:t>
            </w:r>
          </w:p>
          <w:p w:rsidR="00B04520" w:rsidRDefault="00B04520" w:rsidP="00B64C67">
            <w:pPr>
              <w:cnfStyle w:val="000000100000"/>
              <w:rPr>
                <w:color w:val="auto"/>
              </w:rPr>
            </w:pPr>
            <w:r>
              <w:rPr>
                <w:color w:val="auto"/>
              </w:rPr>
              <w:t>Smoother ride</w:t>
            </w:r>
          </w:p>
          <w:p w:rsidR="00B04520" w:rsidRPr="00B04520" w:rsidRDefault="00B04520" w:rsidP="00B64C67">
            <w:pPr>
              <w:cnfStyle w:val="000000100000"/>
              <w:rPr>
                <w:color w:val="auto"/>
              </w:rPr>
            </w:pPr>
            <w:r>
              <w:rPr>
                <w:color w:val="auto"/>
              </w:rPr>
              <w:t>Higher rankings in spaciousness/comfort</w:t>
            </w:r>
          </w:p>
        </w:tc>
      </w:tr>
      <w:tr w:rsidR="00B04520">
        <w:tc>
          <w:tcPr>
            <w:cnfStyle w:val="001000000000"/>
            <w:tcW w:w="1548" w:type="dxa"/>
            <w:vMerge/>
            <w:tcBorders>
              <w:top w:val="single" w:sz="8" w:space="0" w:color="4F81BD" w:themeColor="accent1"/>
              <w:bottom w:val="single" w:sz="24" w:space="0" w:color="4F81BD" w:themeColor="accent1"/>
              <w:right w:val="single" w:sz="8" w:space="0" w:color="4F81BD" w:themeColor="accent1"/>
            </w:tcBorders>
            <w:shd w:val="clear" w:color="auto" w:fill="auto"/>
          </w:tcPr>
          <w:p w:rsidR="00B04520" w:rsidRPr="00B04520" w:rsidRDefault="00B04520" w:rsidP="00B64C67">
            <w:pPr>
              <w:rPr>
                <w:color w:val="auto"/>
              </w:rPr>
            </w:pPr>
          </w:p>
        </w:tc>
        <w:tc>
          <w:tcPr>
            <w:tcW w:w="3024" w:type="dxa"/>
            <w:tcBorders>
              <w:top w:val="single" w:sz="8" w:space="0" w:color="4F81BD" w:themeColor="accent1"/>
              <w:left w:val="single" w:sz="8" w:space="0" w:color="4F81BD" w:themeColor="accent1"/>
              <w:bottom w:val="single" w:sz="24" w:space="0" w:color="4F81BD" w:themeColor="accent1"/>
              <w:right w:val="single" w:sz="8" w:space="0" w:color="4F81BD" w:themeColor="accent1"/>
            </w:tcBorders>
            <w:shd w:val="clear" w:color="auto" w:fill="auto"/>
          </w:tcPr>
          <w:p w:rsidR="00B04520" w:rsidRPr="00B04520" w:rsidRDefault="00B04520" w:rsidP="00B64C67">
            <w:pPr>
              <w:cnfStyle w:val="000000000000"/>
              <w:rPr>
                <w:color w:val="auto"/>
              </w:rPr>
            </w:pPr>
            <w:r>
              <w:rPr>
                <w:color w:val="auto"/>
              </w:rPr>
              <w:t>Audi S8</w:t>
            </w:r>
          </w:p>
        </w:tc>
        <w:tc>
          <w:tcPr>
            <w:tcW w:w="4338" w:type="dxa"/>
            <w:tcBorders>
              <w:top w:val="single" w:sz="8" w:space="0" w:color="4F81BD" w:themeColor="accent1"/>
              <w:left w:val="single" w:sz="8" w:space="0" w:color="4F81BD" w:themeColor="accent1"/>
              <w:bottom w:val="single" w:sz="24" w:space="0" w:color="4F81BD" w:themeColor="accent1"/>
            </w:tcBorders>
            <w:shd w:val="clear" w:color="auto" w:fill="auto"/>
          </w:tcPr>
          <w:p w:rsidR="00B04520" w:rsidRDefault="00B04520" w:rsidP="00B64C67">
            <w:pPr>
              <w:cnfStyle w:val="000000000000"/>
              <w:rPr>
                <w:color w:val="auto"/>
              </w:rPr>
            </w:pPr>
            <w:r>
              <w:rPr>
                <w:color w:val="auto"/>
              </w:rPr>
              <w:t>Slowest of the group</w:t>
            </w:r>
          </w:p>
          <w:p w:rsidR="00B04520" w:rsidRPr="00B04520" w:rsidRDefault="00B04520" w:rsidP="00B64C67">
            <w:pPr>
              <w:cnfStyle w:val="000000000000"/>
              <w:rPr>
                <w:color w:val="auto"/>
              </w:rPr>
            </w:pPr>
            <w:r>
              <w:rPr>
                <w:color w:val="auto"/>
              </w:rPr>
              <w:t>Exceptional interior quality</w:t>
            </w:r>
          </w:p>
        </w:tc>
      </w:tr>
      <w:tr w:rsidR="00B04520">
        <w:trPr>
          <w:cnfStyle w:val="000000100000"/>
        </w:trPr>
        <w:tc>
          <w:tcPr>
            <w:cnfStyle w:val="001000000000"/>
            <w:tcW w:w="1548" w:type="dxa"/>
            <w:tcBorders>
              <w:top w:val="single" w:sz="24" w:space="0" w:color="4F81BD" w:themeColor="accent1"/>
              <w:bottom w:val="single" w:sz="8" w:space="0" w:color="4F81BD" w:themeColor="accent1"/>
              <w:right w:val="single" w:sz="8" w:space="0" w:color="4F81BD" w:themeColor="accent1"/>
            </w:tcBorders>
            <w:shd w:val="clear" w:color="auto" w:fill="auto"/>
          </w:tcPr>
          <w:p w:rsidR="00B04520" w:rsidRPr="00B04520" w:rsidRDefault="00B04520" w:rsidP="00B64C67">
            <w:pPr>
              <w:rPr>
                <w:i/>
                <w:color w:val="auto"/>
              </w:rPr>
            </w:pPr>
            <w:proofErr w:type="spellStart"/>
            <w:r w:rsidRPr="00B04520">
              <w:rPr>
                <w:i/>
                <w:color w:val="auto"/>
              </w:rPr>
              <w:t>Boxter</w:t>
            </w:r>
            <w:proofErr w:type="spellEnd"/>
            <w:r w:rsidRPr="00B04520">
              <w:rPr>
                <w:i/>
                <w:color w:val="auto"/>
              </w:rPr>
              <w:t>/</w:t>
            </w:r>
            <w:r>
              <w:rPr>
                <w:i/>
                <w:color w:val="auto"/>
              </w:rPr>
              <w:t xml:space="preserve"> </w:t>
            </w:r>
            <w:r w:rsidR="00190B50">
              <w:rPr>
                <w:i/>
                <w:color w:val="auto"/>
              </w:rPr>
              <w:t>Cayma</w:t>
            </w:r>
            <w:r w:rsidRPr="00B04520">
              <w:rPr>
                <w:i/>
                <w:color w:val="auto"/>
              </w:rPr>
              <w:t>n</w:t>
            </w:r>
          </w:p>
        </w:tc>
        <w:tc>
          <w:tcPr>
            <w:tcW w:w="3024" w:type="dxa"/>
            <w:tcBorders>
              <w:top w:val="single" w:sz="24"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rsidR="00B04520" w:rsidRPr="00B04520" w:rsidRDefault="00B04520" w:rsidP="00B64C67">
            <w:pPr>
              <w:cnfStyle w:val="000000100000"/>
              <w:rPr>
                <w:color w:val="auto"/>
              </w:rPr>
            </w:pPr>
            <w:r w:rsidRPr="00B04520">
              <w:rPr>
                <w:color w:val="auto"/>
              </w:rPr>
              <w:t>BMW (James Bond) Z3</w:t>
            </w:r>
          </w:p>
          <w:p w:rsidR="00B04520" w:rsidRPr="00B04520" w:rsidRDefault="00B04520" w:rsidP="00B64C67">
            <w:pPr>
              <w:cnfStyle w:val="000000100000"/>
              <w:rPr>
                <w:color w:val="auto"/>
              </w:rPr>
            </w:pPr>
            <w:r w:rsidRPr="00B04520">
              <w:rPr>
                <w:color w:val="auto"/>
              </w:rPr>
              <w:t xml:space="preserve">     Now the Z4</w:t>
            </w:r>
          </w:p>
        </w:tc>
        <w:tc>
          <w:tcPr>
            <w:tcW w:w="4338" w:type="dxa"/>
            <w:tcBorders>
              <w:top w:val="single" w:sz="24" w:space="0" w:color="4F81BD" w:themeColor="accent1"/>
              <w:left w:val="single" w:sz="8" w:space="0" w:color="4F81BD" w:themeColor="accent1"/>
              <w:bottom w:val="single" w:sz="8" w:space="0" w:color="4F81BD" w:themeColor="accent1"/>
            </w:tcBorders>
            <w:shd w:val="clear" w:color="auto" w:fill="auto"/>
          </w:tcPr>
          <w:p w:rsidR="00B04520" w:rsidRPr="00B04520" w:rsidRDefault="00B04520" w:rsidP="00B64C67">
            <w:pPr>
              <w:cnfStyle w:val="000000100000"/>
              <w:rPr>
                <w:color w:val="auto"/>
              </w:rPr>
            </w:pPr>
            <w:r>
              <w:rPr>
                <w:color w:val="auto"/>
              </w:rPr>
              <w:t>More luxurious angle</w:t>
            </w:r>
          </w:p>
        </w:tc>
      </w:tr>
      <w:tr w:rsidR="00B04520">
        <w:tc>
          <w:tcPr>
            <w:cnfStyle w:val="001000000000"/>
            <w:tcW w:w="1548" w:type="dxa"/>
            <w:vMerge w:val="restart"/>
            <w:tcBorders>
              <w:top w:val="single" w:sz="8" w:space="0" w:color="4F81BD" w:themeColor="accent1"/>
              <w:right w:val="single" w:sz="8" w:space="0" w:color="4F81BD" w:themeColor="accent1"/>
            </w:tcBorders>
            <w:shd w:val="clear" w:color="auto" w:fill="auto"/>
          </w:tcPr>
          <w:p w:rsidR="00B04520" w:rsidRPr="00B04520" w:rsidRDefault="00B04520"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tcPr>
          <w:p w:rsidR="00B04520" w:rsidRPr="00B04520" w:rsidRDefault="00B04520" w:rsidP="00B64C67">
            <w:pPr>
              <w:cnfStyle w:val="000000000000"/>
              <w:rPr>
                <w:color w:val="auto"/>
              </w:rPr>
            </w:pPr>
            <w:r w:rsidRPr="00B04520">
              <w:rPr>
                <w:color w:val="auto"/>
              </w:rPr>
              <w:t>Mercedes-Benz SLK</w:t>
            </w:r>
          </w:p>
        </w:tc>
        <w:tc>
          <w:tcPr>
            <w:tcW w:w="4338" w:type="dxa"/>
            <w:tcBorders>
              <w:top w:val="single" w:sz="8" w:space="0" w:color="4F81BD" w:themeColor="accent1"/>
              <w:left w:val="single" w:sz="8" w:space="0" w:color="4F81BD" w:themeColor="accent1"/>
              <w:bottom w:val="single" w:sz="8" w:space="0" w:color="4F81BD" w:themeColor="accent1"/>
            </w:tcBorders>
            <w:shd w:val="clear" w:color="auto" w:fill="C6D9F1" w:themeFill="text2" w:themeFillTint="33"/>
          </w:tcPr>
          <w:p w:rsidR="00B04520" w:rsidRPr="00B04520" w:rsidRDefault="00B04520" w:rsidP="00B64C67">
            <w:pPr>
              <w:cnfStyle w:val="000000000000"/>
              <w:rPr>
                <w:color w:val="auto"/>
              </w:rPr>
            </w:pPr>
            <w:r w:rsidRPr="00B04520">
              <w:rPr>
                <w:color w:val="auto"/>
              </w:rPr>
              <w:t>Slightly less horsepower</w:t>
            </w:r>
          </w:p>
          <w:p w:rsidR="00B04520" w:rsidRDefault="00B04520" w:rsidP="00B64C67">
            <w:pPr>
              <w:cnfStyle w:val="000000000000"/>
            </w:pPr>
            <w:r w:rsidRPr="00B04520">
              <w:rPr>
                <w:color w:val="auto"/>
              </w:rPr>
              <w:t>Fewer sport options</w:t>
            </w:r>
          </w:p>
        </w:tc>
      </w:tr>
      <w:tr w:rsidR="00B04520">
        <w:trPr>
          <w:cnfStyle w:val="000000100000"/>
        </w:trPr>
        <w:tc>
          <w:tcPr>
            <w:cnfStyle w:val="001000000000"/>
            <w:tcW w:w="1548" w:type="dxa"/>
            <w:vMerge/>
            <w:tcBorders>
              <w:bottom w:val="single" w:sz="24" w:space="0" w:color="4F81BD" w:themeColor="accent1"/>
              <w:right w:val="single" w:sz="8" w:space="0" w:color="4F81BD" w:themeColor="accent1"/>
            </w:tcBorders>
            <w:shd w:val="clear" w:color="auto" w:fill="auto"/>
          </w:tcPr>
          <w:p w:rsidR="00B04520" w:rsidRPr="00B04520" w:rsidRDefault="00B04520" w:rsidP="00B64C67">
            <w:pPr>
              <w:rPr>
                <w:i/>
              </w:rPr>
            </w:pPr>
          </w:p>
        </w:tc>
        <w:tc>
          <w:tcPr>
            <w:tcW w:w="3024" w:type="dxa"/>
            <w:tcBorders>
              <w:top w:val="single" w:sz="8" w:space="0" w:color="4F81BD" w:themeColor="accent1"/>
              <w:left w:val="single" w:sz="8" w:space="0" w:color="4F81BD" w:themeColor="accent1"/>
              <w:bottom w:val="single" w:sz="24" w:space="0" w:color="4F81BD" w:themeColor="accent1"/>
              <w:right w:val="single" w:sz="8" w:space="0" w:color="4F81BD" w:themeColor="accent1"/>
            </w:tcBorders>
            <w:shd w:val="clear" w:color="auto" w:fill="auto"/>
          </w:tcPr>
          <w:p w:rsidR="00B04520" w:rsidRPr="00B04520" w:rsidRDefault="00B04520" w:rsidP="00B64C67">
            <w:pPr>
              <w:cnfStyle w:val="000000100000"/>
              <w:rPr>
                <w:color w:val="auto"/>
              </w:rPr>
            </w:pPr>
            <w:r w:rsidRPr="00B04520">
              <w:rPr>
                <w:color w:val="auto"/>
              </w:rPr>
              <w:t>Audi TT</w:t>
            </w:r>
          </w:p>
        </w:tc>
        <w:tc>
          <w:tcPr>
            <w:tcW w:w="4338" w:type="dxa"/>
            <w:tcBorders>
              <w:top w:val="single" w:sz="8" w:space="0" w:color="4F81BD" w:themeColor="accent1"/>
              <w:left w:val="single" w:sz="8" w:space="0" w:color="4F81BD" w:themeColor="accent1"/>
              <w:bottom w:val="single" w:sz="24" w:space="0" w:color="4F81BD" w:themeColor="accent1"/>
            </w:tcBorders>
            <w:shd w:val="clear" w:color="auto" w:fill="auto"/>
          </w:tcPr>
          <w:p w:rsidR="00B04520" w:rsidRPr="00B04520" w:rsidRDefault="00B04520" w:rsidP="00B64C67">
            <w:pPr>
              <w:cnfStyle w:val="000000100000"/>
            </w:pPr>
          </w:p>
        </w:tc>
      </w:tr>
    </w:tbl>
    <w:p w:rsidR="006C06DF" w:rsidRDefault="00CB626B" w:rsidP="00CB626B">
      <w:pPr>
        <w:jc w:val="right"/>
        <w:rPr>
          <w:i/>
        </w:rPr>
      </w:pPr>
      <w:proofErr w:type="gramStart"/>
      <w:r>
        <w:rPr>
          <w:i/>
        </w:rPr>
        <w:t>cont.</w:t>
      </w:r>
      <w:proofErr w:type="gramEnd"/>
    </w:p>
    <w:p w:rsidR="00334CFA" w:rsidRPr="00334CFA" w:rsidRDefault="00334CFA">
      <w:pPr>
        <w:rPr>
          <w:i/>
        </w:rPr>
      </w:pPr>
    </w:p>
    <w:tbl>
      <w:tblPr>
        <w:tblStyle w:val="LightShading-Accent1"/>
        <w:tblW w:w="8910" w:type="dxa"/>
        <w:tblBorders>
          <w:bottom w:val="single" w:sz="24" w:space="0" w:color="4F81BD" w:themeColor="accent1"/>
        </w:tblBorders>
        <w:tblLayout w:type="fixed"/>
        <w:tblLook w:val="04A0"/>
      </w:tblPr>
      <w:tblGrid>
        <w:gridCol w:w="1548"/>
        <w:gridCol w:w="3024"/>
        <w:gridCol w:w="4338"/>
      </w:tblGrid>
      <w:tr w:rsidR="00202C8C" w:rsidRPr="00CB626B">
        <w:trPr>
          <w:cnfStyle w:val="100000000000"/>
          <w:trHeight w:val="255"/>
        </w:trPr>
        <w:tc>
          <w:tcPr>
            <w:cnfStyle w:val="001000000000"/>
            <w:tcW w:w="1548" w:type="dxa"/>
            <w:tcBorders>
              <w:top w:val="single" w:sz="24" w:space="0" w:color="4F81BD" w:themeColor="accent1"/>
              <w:left w:val="none" w:sz="0" w:space="0" w:color="auto"/>
              <w:bottom w:val="nil"/>
              <w:right w:val="single" w:sz="8" w:space="0" w:color="4F81BD" w:themeColor="accent1"/>
            </w:tcBorders>
            <w:shd w:val="clear" w:color="auto" w:fill="auto"/>
          </w:tcPr>
          <w:p w:rsidR="00202C8C" w:rsidRPr="00B04520" w:rsidRDefault="00202C8C" w:rsidP="00B64C67">
            <w:pPr>
              <w:rPr>
                <w:i/>
                <w:color w:val="auto"/>
              </w:rPr>
            </w:pPr>
            <w:r w:rsidRPr="00B04520">
              <w:rPr>
                <w:i/>
                <w:color w:val="auto"/>
              </w:rPr>
              <w:t>Porsche 911</w:t>
            </w:r>
          </w:p>
        </w:tc>
        <w:tc>
          <w:tcPr>
            <w:tcW w:w="3024" w:type="dxa"/>
            <w:tcBorders>
              <w:top w:val="single" w:sz="24" w:space="0" w:color="4F81BD" w:themeColor="accent1"/>
              <w:left w:val="single" w:sz="8" w:space="0" w:color="4F81BD" w:themeColor="accent1"/>
              <w:right w:val="single" w:sz="8" w:space="0" w:color="4F81BD" w:themeColor="accent1"/>
            </w:tcBorders>
            <w:shd w:val="clear" w:color="auto" w:fill="auto"/>
          </w:tcPr>
          <w:p w:rsidR="00202C8C" w:rsidRPr="00CB626B" w:rsidRDefault="00202C8C" w:rsidP="00B64C67">
            <w:pPr>
              <w:cnfStyle w:val="100000000000"/>
              <w:rPr>
                <w:b w:val="0"/>
                <w:color w:val="auto"/>
              </w:rPr>
            </w:pPr>
            <w:r w:rsidRPr="00CB626B">
              <w:rPr>
                <w:b w:val="0"/>
                <w:color w:val="auto"/>
              </w:rPr>
              <w:t xml:space="preserve">Ferrari </w:t>
            </w:r>
            <w:proofErr w:type="spellStart"/>
            <w:r w:rsidRPr="00CB626B">
              <w:rPr>
                <w:b w:val="0"/>
                <w:color w:val="auto"/>
              </w:rPr>
              <w:t>Enzo</w:t>
            </w:r>
            <w:proofErr w:type="spellEnd"/>
          </w:p>
        </w:tc>
        <w:tc>
          <w:tcPr>
            <w:tcW w:w="4338" w:type="dxa"/>
            <w:vMerge w:val="restart"/>
            <w:tcBorders>
              <w:top w:val="single" w:sz="24" w:space="0" w:color="4F81BD" w:themeColor="accent1"/>
              <w:left w:val="single" w:sz="8" w:space="0" w:color="4F81BD" w:themeColor="accent1"/>
              <w:bottom w:val="nil"/>
              <w:right w:val="none" w:sz="0" w:space="0" w:color="auto"/>
            </w:tcBorders>
            <w:shd w:val="clear" w:color="auto" w:fill="auto"/>
            <w:vAlign w:val="center"/>
          </w:tcPr>
          <w:p w:rsidR="00202C8C" w:rsidRPr="00CB626B" w:rsidRDefault="00202C8C" w:rsidP="00202C8C">
            <w:pPr>
              <w:cnfStyle w:val="100000000000"/>
              <w:rPr>
                <w:b w:val="0"/>
                <w:color w:val="auto"/>
              </w:rPr>
            </w:pPr>
            <w:r w:rsidRPr="00CB626B">
              <w:rPr>
                <w:b w:val="0"/>
                <w:color w:val="auto"/>
              </w:rPr>
              <w:t xml:space="preserve">Supercars – extremely expensive </w:t>
            </w:r>
          </w:p>
          <w:p w:rsidR="00202C8C" w:rsidRPr="00CB626B" w:rsidRDefault="00932666" w:rsidP="00202C8C">
            <w:pPr>
              <w:cnfStyle w:val="100000000000"/>
              <w:rPr>
                <w:b w:val="0"/>
                <w:color w:val="auto"/>
              </w:rPr>
            </w:pPr>
            <w:r>
              <w:rPr>
                <w:b w:val="0"/>
                <w:color w:val="auto"/>
              </w:rPr>
              <w:t>Prices range from $250K–$400K</w:t>
            </w:r>
          </w:p>
          <w:p w:rsidR="00202C8C" w:rsidRPr="00CB626B" w:rsidRDefault="00202C8C" w:rsidP="00932666">
            <w:pPr>
              <w:cnfStyle w:val="100000000000"/>
              <w:rPr>
                <w:b w:val="0"/>
                <w:color w:val="auto"/>
              </w:rPr>
            </w:pPr>
            <w:r w:rsidRPr="00CB626B">
              <w:rPr>
                <w:b w:val="0"/>
                <w:color w:val="auto"/>
              </w:rPr>
              <w:t>Porsche is equal in performance and prestige, but more</w:t>
            </w:r>
            <w:r w:rsidR="00932666">
              <w:rPr>
                <w:b w:val="0"/>
                <w:color w:val="auto"/>
              </w:rPr>
              <w:t xml:space="preserve"> </w:t>
            </w:r>
            <w:r w:rsidRPr="00CB626B">
              <w:rPr>
                <w:b w:val="0"/>
                <w:color w:val="auto"/>
              </w:rPr>
              <w:t>reasonably priced</w:t>
            </w:r>
          </w:p>
        </w:tc>
      </w:tr>
      <w:tr w:rsidR="00202C8C" w:rsidRPr="00CB626B">
        <w:trPr>
          <w:cnfStyle w:val="000000100000"/>
        </w:trPr>
        <w:tc>
          <w:tcPr>
            <w:cnfStyle w:val="001000000000"/>
            <w:tcW w:w="1548" w:type="dxa"/>
            <w:vMerge w:val="restart"/>
            <w:tcBorders>
              <w:top w:val="nil"/>
              <w:left w:val="none" w:sz="0" w:space="0" w:color="auto"/>
              <w:bottom w:val="single" w:sz="8" w:space="0" w:color="4F81BD" w:themeColor="accent1"/>
              <w:right w:val="single" w:sz="8" w:space="0" w:color="4F81BD" w:themeColor="accent1"/>
            </w:tcBorders>
            <w:shd w:val="clear" w:color="auto" w:fill="auto"/>
            <w:vAlign w:val="center"/>
          </w:tcPr>
          <w:p w:rsidR="00202C8C" w:rsidRPr="00202C8C" w:rsidRDefault="00190B50" w:rsidP="00202C8C">
            <w:pPr>
              <w:rPr>
                <w:b w:val="0"/>
              </w:rPr>
            </w:pPr>
            <w:r>
              <w:rPr>
                <w:b w:val="0"/>
                <w:color w:val="1F497D" w:themeColor="text2"/>
              </w:rPr>
              <w:t>Priced from $130K</w:t>
            </w:r>
            <w:r w:rsidR="00932666">
              <w:rPr>
                <w:b w:val="0"/>
                <w:color w:val="1F497D" w:themeColor="text2"/>
              </w:rPr>
              <w:t>–</w:t>
            </w:r>
            <w:r w:rsidR="00202C8C" w:rsidRPr="00202C8C">
              <w:rPr>
                <w:b w:val="0"/>
                <w:color w:val="1F497D" w:themeColor="text2"/>
              </w:rPr>
              <w:t>$245</w:t>
            </w:r>
            <w:r>
              <w:rPr>
                <w:b w:val="0"/>
                <w:color w:val="1F497D" w:themeColor="text2"/>
              </w:rPr>
              <w:t>K</w:t>
            </w: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tcPr>
          <w:p w:rsidR="00202C8C" w:rsidRPr="00B04520" w:rsidRDefault="00202C8C" w:rsidP="00B64C67">
            <w:pPr>
              <w:cnfStyle w:val="000000100000"/>
              <w:rPr>
                <w:color w:val="auto"/>
              </w:rPr>
            </w:pPr>
            <w:r>
              <w:rPr>
                <w:color w:val="auto"/>
              </w:rPr>
              <w:t>Aston Martin V12 Vanquish</w:t>
            </w:r>
          </w:p>
        </w:tc>
        <w:tc>
          <w:tcPr>
            <w:tcW w:w="4338" w:type="dxa"/>
            <w:vMerge/>
            <w:tcBorders>
              <w:top w:val="nil"/>
              <w:left w:val="single" w:sz="8" w:space="0" w:color="4F81BD" w:themeColor="accent1"/>
              <w:bottom w:val="single" w:sz="8" w:space="0" w:color="4F81BD" w:themeColor="accent1"/>
              <w:right w:val="none" w:sz="0" w:space="0" w:color="auto"/>
            </w:tcBorders>
            <w:shd w:val="clear" w:color="auto" w:fill="auto"/>
          </w:tcPr>
          <w:p w:rsidR="00202C8C" w:rsidRPr="00CB626B" w:rsidRDefault="00202C8C" w:rsidP="00B64C67">
            <w:pPr>
              <w:cnfStyle w:val="000000100000"/>
            </w:pPr>
          </w:p>
        </w:tc>
      </w:tr>
      <w:tr w:rsidR="00202C8C" w:rsidRPr="00CB626B">
        <w:tc>
          <w:tcPr>
            <w:cnfStyle w:val="001000000000"/>
            <w:tcW w:w="1548" w:type="dxa"/>
            <w:vMerge/>
            <w:tcBorders>
              <w:top w:val="single" w:sz="8" w:space="0" w:color="4F81BD" w:themeColor="accent1"/>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rsidR="00202C8C" w:rsidRPr="00B04520" w:rsidRDefault="00202C8C" w:rsidP="00B64C67">
            <w:pPr>
              <w:cnfStyle w:val="000000000000"/>
              <w:rPr>
                <w:color w:val="auto"/>
              </w:rPr>
            </w:pPr>
            <w:r w:rsidRPr="00B04520">
              <w:rPr>
                <w:color w:val="auto"/>
              </w:rPr>
              <w:t xml:space="preserve">Lamborghini </w:t>
            </w:r>
            <w:proofErr w:type="spellStart"/>
            <w:r w:rsidRPr="00B04520">
              <w:rPr>
                <w:color w:val="auto"/>
              </w:rPr>
              <w:t>Murcielago</w:t>
            </w:r>
            <w:proofErr w:type="spellEnd"/>
          </w:p>
        </w:tc>
        <w:tc>
          <w:tcPr>
            <w:tcW w:w="4338" w:type="dxa"/>
            <w:vMerge/>
            <w:tcBorders>
              <w:top w:val="single" w:sz="8" w:space="0" w:color="4F81BD" w:themeColor="accent1"/>
              <w:left w:val="single" w:sz="8" w:space="0" w:color="4F81BD" w:themeColor="accent1"/>
            </w:tcBorders>
            <w:shd w:val="clear" w:color="auto" w:fill="auto"/>
          </w:tcPr>
          <w:p w:rsidR="00202C8C" w:rsidRPr="00CB626B" w:rsidRDefault="00202C8C" w:rsidP="00B64C67">
            <w:pPr>
              <w:cnfStyle w:val="000000000000"/>
            </w:pPr>
          </w:p>
        </w:tc>
      </w:tr>
      <w:tr w:rsidR="00202C8C" w:rsidRPr="00CB626B">
        <w:trPr>
          <w:cnfStyle w:val="000000100000"/>
        </w:trPr>
        <w:tc>
          <w:tcPr>
            <w:cnfStyle w:val="001000000000"/>
            <w:tcW w:w="1548" w:type="dxa"/>
            <w:vMerge/>
            <w:tcBorders>
              <w:left w:val="none" w:sz="0" w:space="0" w:color="auto"/>
              <w:bottom w:val="single" w:sz="8" w:space="0" w:color="4F81BD" w:themeColor="accent1"/>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tcPr>
          <w:p w:rsidR="00202C8C" w:rsidRPr="00B04520" w:rsidRDefault="00202C8C" w:rsidP="00B64C67">
            <w:pPr>
              <w:cnfStyle w:val="000000100000"/>
            </w:pPr>
            <w:r w:rsidRPr="00B04520">
              <w:rPr>
                <w:color w:val="auto"/>
              </w:rPr>
              <w:t>Bentley Continental GT</w:t>
            </w:r>
          </w:p>
        </w:tc>
        <w:tc>
          <w:tcPr>
            <w:tcW w:w="4338" w:type="dxa"/>
            <w:vMerge/>
            <w:tcBorders>
              <w:left w:val="single" w:sz="8" w:space="0" w:color="4F81BD" w:themeColor="accent1"/>
              <w:bottom w:val="single" w:sz="8" w:space="0" w:color="4F81BD" w:themeColor="accent1"/>
              <w:right w:val="none" w:sz="0" w:space="0" w:color="auto"/>
            </w:tcBorders>
            <w:shd w:val="clear" w:color="auto" w:fill="auto"/>
          </w:tcPr>
          <w:p w:rsidR="00202C8C" w:rsidRPr="00CB626B" w:rsidRDefault="00202C8C" w:rsidP="00B64C67">
            <w:pPr>
              <w:cnfStyle w:val="000000100000"/>
            </w:pPr>
          </w:p>
        </w:tc>
      </w:tr>
      <w:tr w:rsidR="00202C8C" w:rsidRPr="00B04520">
        <w:tc>
          <w:tcPr>
            <w:cnfStyle w:val="001000000000"/>
            <w:tcW w:w="1548" w:type="dxa"/>
            <w:vMerge w:val="restart"/>
            <w:tcBorders>
              <w:top w:val="single" w:sz="8" w:space="0" w:color="4F81BD" w:themeColor="accent1"/>
              <w:bottom w:val="nil"/>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rsidR="00202C8C" w:rsidRPr="00202C8C" w:rsidRDefault="00202C8C" w:rsidP="00B64C67">
            <w:pPr>
              <w:cnfStyle w:val="000000000000"/>
              <w:rPr>
                <w:color w:val="auto"/>
              </w:rPr>
            </w:pPr>
            <w:r w:rsidRPr="00202C8C">
              <w:rPr>
                <w:color w:val="auto"/>
              </w:rPr>
              <w:t>BMW M6</w:t>
            </w:r>
          </w:p>
        </w:tc>
        <w:tc>
          <w:tcPr>
            <w:tcW w:w="4338" w:type="dxa"/>
            <w:vMerge w:val="restart"/>
            <w:tcBorders>
              <w:top w:val="single" w:sz="8" w:space="0" w:color="4F81BD" w:themeColor="accent1"/>
              <w:left w:val="single" w:sz="8" w:space="0" w:color="4F81BD" w:themeColor="accent1"/>
              <w:bottom w:val="single" w:sz="8" w:space="0" w:color="4F81BD" w:themeColor="accent1"/>
            </w:tcBorders>
            <w:shd w:val="clear" w:color="auto" w:fill="auto"/>
            <w:vAlign w:val="center"/>
          </w:tcPr>
          <w:p w:rsidR="00202C8C" w:rsidRPr="00202C8C" w:rsidRDefault="00202C8C" w:rsidP="00202C8C">
            <w:pPr>
              <w:cnfStyle w:val="000000000000"/>
              <w:rPr>
                <w:color w:val="auto"/>
              </w:rPr>
            </w:pPr>
            <w:r>
              <w:rPr>
                <w:color w:val="auto"/>
              </w:rPr>
              <w:t>Lack some of the aspects of sports performance</w:t>
            </w:r>
          </w:p>
        </w:tc>
      </w:tr>
      <w:tr w:rsidR="00202C8C" w:rsidRPr="00B04520">
        <w:trPr>
          <w:cnfStyle w:val="000000100000"/>
        </w:trPr>
        <w:tc>
          <w:tcPr>
            <w:cnfStyle w:val="001000000000"/>
            <w:tcW w:w="1548" w:type="dxa"/>
            <w:vMerge/>
            <w:tcBorders>
              <w:top w:val="nil"/>
              <w:left w:val="none" w:sz="0" w:space="0" w:color="auto"/>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tcPr>
          <w:p w:rsidR="00202C8C" w:rsidRPr="00202C8C" w:rsidRDefault="00202C8C" w:rsidP="00B64C67">
            <w:pPr>
              <w:cnfStyle w:val="000000100000"/>
              <w:rPr>
                <w:color w:val="auto"/>
              </w:rPr>
            </w:pPr>
            <w:r w:rsidRPr="00202C8C">
              <w:rPr>
                <w:color w:val="auto"/>
              </w:rPr>
              <w:t>Mercedes-Benz SL-Class</w:t>
            </w:r>
          </w:p>
        </w:tc>
        <w:tc>
          <w:tcPr>
            <w:tcW w:w="4338" w:type="dxa"/>
            <w:vMerge/>
            <w:tcBorders>
              <w:top w:val="single" w:sz="8" w:space="0" w:color="4F81BD" w:themeColor="accent1"/>
              <w:left w:val="single" w:sz="8" w:space="0" w:color="4F81BD" w:themeColor="accent1"/>
              <w:bottom w:val="single" w:sz="8" w:space="0" w:color="4F81BD" w:themeColor="accent1"/>
              <w:right w:val="none" w:sz="0" w:space="0" w:color="auto"/>
            </w:tcBorders>
            <w:shd w:val="clear" w:color="auto" w:fill="auto"/>
            <w:vAlign w:val="center"/>
          </w:tcPr>
          <w:p w:rsidR="00202C8C" w:rsidRPr="00B04520" w:rsidRDefault="00202C8C" w:rsidP="00202C8C">
            <w:pPr>
              <w:cnfStyle w:val="000000100000"/>
            </w:pPr>
          </w:p>
        </w:tc>
      </w:tr>
      <w:tr w:rsidR="00202C8C" w:rsidRPr="00B04520">
        <w:tc>
          <w:tcPr>
            <w:cnfStyle w:val="001000000000"/>
            <w:tcW w:w="1548" w:type="dxa"/>
            <w:vMerge/>
            <w:tcBorders>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p w:rsidR="00202C8C" w:rsidRPr="00202C8C" w:rsidRDefault="00202C8C" w:rsidP="00B64C67">
            <w:pPr>
              <w:cnfStyle w:val="000000000000"/>
              <w:rPr>
                <w:color w:val="auto"/>
              </w:rPr>
            </w:pPr>
            <w:r w:rsidRPr="00202C8C">
              <w:rPr>
                <w:color w:val="auto"/>
              </w:rPr>
              <w:t>Audi R8</w:t>
            </w:r>
          </w:p>
        </w:tc>
        <w:tc>
          <w:tcPr>
            <w:tcW w:w="4338" w:type="dxa"/>
            <w:vMerge/>
            <w:tcBorders>
              <w:top w:val="single" w:sz="8" w:space="0" w:color="4F81BD" w:themeColor="accent1"/>
              <w:left w:val="single" w:sz="8" w:space="0" w:color="4F81BD" w:themeColor="accent1"/>
              <w:bottom w:val="single" w:sz="8" w:space="0" w:color="4F81BD" w:themeColor="accent1"/>
            </w:tcBorders>
            <w:shd w:val="clear" w:color="auto" w:fill="auto"/>
            <w:vAlign w:val="center"/>
          </w:tcPr>
          <w:p w:rsidR="00202C8C" w:rsidRPr="00B04520" w:rsidRDefault="00202C8C" w:rsidP="00202C8C">
            <w:pPr>
              <w:cnfStyle w:val="000000000000"/>
            </w:pPr>
          </w:p>
        </w:tc>
      </w:tr>
      <w:tr w:rsidR="00202C8C" w:rsidRPr="00B04520">
        <w:trPr>
          <w:cnfStyle w:val="000000100000"/>
          <w:trHeight w:val="432"/>
        </w:trPr>
        <w:tc>
          <w:tcPr>
            <w:cnfStyle w:val="001000000000"/>
            <w:tcW w:w="1548" w:type="dxa"/>
            <w:vMerge w:val="restart"/>
            <w:tcBorders>
              <w:left w:val="none" w:sz="0" w:space="0" w:color="auto"/>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vAlign w:val="center"/>
          </w:tcPr>
          <w:p w:rsidR="00202C8C" w:rsidRPr="00202C8C" w:rsidRDefault="00202C8C" w:rsidP="00202C8C">
            <w:pPr>
              <w:cnfStyle w:val="000000100000"/>
              <w:rPr>
                <w:color w:val="auto"/>
              </w:rPr>
            </w:pPr>
            <w:r w:rsidRPr="00202C8C">
              <w:rPr>
                <w:color w:val="auto"/>
              </w:rPr>
              <w:t>Nissan GT-R</w:t>
            </w:r>
          </w:p>
        </w:tc>
        <w:tc>
          <w:tcPr>
            <w:tcW w:w="4338" w:type="dxa"/>
            <w:vMerge w:val="restart"/>
            <w:tcBorders>
              <w:top w:val="single" w:sz="8" w:space="0" w:color="4F81BD" w:themeColor="accent1"/>
              <w:left w:val="single" w:sz="8" w:space="0" w:color="4F81BD" w:themeColor="accent1"/>
              <w:bottom w:val="single" w:sz="8" w:space="0" w:color="4F81BD" w:themeColor="accent1"/>
              <w:right w:val="none" w:sz="0" w:space="0" w:color="auto"/>
            </w:tcBorders>
            <w:shd w:val="clear" w:color="auto" w:fill="auto"/>
            <w:vAlign w:val="center"/>
          </w:tcPr>
          <w:p w:rsidR="00202C8C" w:rsidRDefault="00202C8C" w:rsidP="00202C8C">
            <w:pPr>
              <w:cnfStyle w:val="000000100000"/>
              <w:rPr>
                <w:color w:val="auto"/>
              </w:rPr>
            </w:pPr>
            <w:r>
              <w:rPr>
                <w:color w:val="auto"/>
              </w:rPr>
              <w:t>Excellent performance</w:t>
            </w:r>
          </w:p>
          <w:p w:rsidR="00202C8C" w:rsidRDefault="00202C8C" w:rsidP="00202C8C">
            <w:pPr>
              <w:cnfStyle w:val="000000100000"/>
              <w:rPr>
                <w:color w:val="auto"/>
              </w:rPr>
            </w:pPr>
            <w:r>
              <w:rPr>
                <w:color w:val="auto"/>
              </w:rPr>
              <w:lastRenderedPageBreak/>
              <w:t>Lower price tags</w:t>
            </w:r>
          </w:p>
          <w:p w:rsidR="00202C8C" w:rsidRPr="00202C8C" w:rsidRDefault="00202C8C" w:rsidP="00202C8C">
            <w:pPr>
              <w:cnfStyle w:val="000000100000"/>
              <w:rPr>
                <w:color w:val="auto"/>
              </w:rPr>
            </w:pPr>
            <w:r>
              <w:rPr>
                <w:color w:val="auto"/>
              </w:rPr>
              <w:t>Lower pedigree</w:t>
            </w:r>
          </w:p>
        </w:tc>
      </w:tr>
      <w:tr w:rsidR="00202C8C" w:rsidRPr="00B04520">
        <w:trPr>
          <w:trHeight w:val="432"/>
        </w:trPr>
        <w:tc>
          <w:tcPr>
            <w:cnfStyle w:val="001000000000"/>
            <w:tcW w:w="1548" w:type="dxa"/>
            <w:vMerge/>
            <w:tcBorders>
              <w:right w:val="single" w:sz="8" w:space="0" w:color="4F81BD" w:themeColor="accent1"/>
            </w:tcBorders>
            <w:shd w:val="clear" w:color="auto" w:fill="auto"/>
          </w:tcPr>
          <w:p w:rsidR="00202C8C" w:rsidRPr="00B04520" w:rsidRDefault="00202C8C" w:rsidP="00B64C67">
            <w:pPr>
              <w:rPr>
                <w:i/>
              </w:rPr>
            </w:pPr>
          </w:p>
        </w:tc>
        <w:tc>
          <w:tcPr>
            <w:tcW w:w="3024" w:type="dxa"/>
            <w:tcBorders>
              <w:top w:val="single" w:sz="8" w:space="0" w:color="4F81BD" w:themeColor="accent1"/>
              <w:left w:val="single" w:sz="8" w:space="0" w:color="4F81BD" w:themeColor="accent1"/>
              <w:bottom w:val="single" w:sz="24" w:space="0" w:color="4F81BD" w:themeColor="accent1"/>
              <w:right w:val="single" w:sz="8" w:space="0" w:color="4F81BD" w:themeColor="accent1"/>
            </w:tcBorders>
            <w:shd w:val="clear" w:color="auto" w:fill="auto"/>
            <w:vAlign w:val="center"/>
          </w:tcPr>
          <w:p w:rsidR="00202C8C" w:rsidRPr="00202C8C" w:rsidRDefault="00202C8C" w:rsidP="00202C8C">
            <w:pPr>
              <w:cnfStyle w:val="000000000000"/>
              <w:rPr>
                <w:color w:val="auto"/>
              </w:rPr>
            </w:pPr>
            <w:r w:rsidRPr="00202C8C">
              <w:rPr>
                <w:color w:val="auto"/>
              </w:rPr>
              <w:t>Dodge Viper</w:t>
            </w:r>
          </w:p>
        </w:tc>
        <w:tc>
          <w:tcPr>
            <w:tcW w:w="4338" w:type="dxa"/>
            <w:vMerge/>
            <w:tcBorders>
              <w:top w:val="single" w:sz="8" w:space="0" w:color="4F81BD" w:themeColor="accent1"/>
              <w:left w:val="single" w:sz="8" w:space="0" w:color="4F81BD" w:themeColor="accent1"/>
            </w:tcBorders>
            <w:shd w:val="clear" w:color="auto" w:fill="auto"/>
            <w:vAlign w:val="center"/>
          </w:tcPr>
          <w:p w:rsidR="00202C8C" w:rsidRPr="00202C8C" w:rsidRDefault="00202C8C" w:rsidP="00202C8C">
            <w:pPr>
              <w:cnfStyle w:val="000000000000"/>
              <w:rPr>
                <w:color w:val="auto"/>
              </w:rPr>
            </w:pPr>
          </w:p>
        </w:tc>
      </w:tr>
    </w:tbl>
    <w:p w:rsidR="00AC7D50" w:rsidRDefault="00B04520" w:rsidP="00B64C67">
      <w:r w:rsidRPr="00B04520">
        <w:lastRenderedPageBreak/>
        <w:t xml:space="preserve"> </w:t>
      </w:r>
    </w:p>
    <w:p w:rsidR="00E22444" w:rsidRDefault="00334CFA" w:rsidP="00E22444">
      <w:r>
        <w:rPr>
          <w:bCs/>
        </w:rPr>
        <w:tab/>
      </w:r>
      <w:r w:rsidR="00CB626B">
        <w:rPr>
          <w:bCs/>
        </w:rPr>
        <w:t>Porsche’s</w:t>
      </w:r>
      <w:r w:rsidR="00E22444">
        <w:rPr>
          <w:bCs/>
        </w:rPr>
        <w:t xml:space="preserve"> SUV and sedan are the sportiest options in their respective segments, and all </w:t>
      </w:r>
      <w:r w:rsidR="00CB626B">
        <w:rPr>
          <w:bCs/>
        </w:rPr>
        <w:t xml:space="preserve">Porsche models </w:t>
      </w:r>
      <w:r w:rsidR="00E22444">
        <w:rPr>
          <w:bCs/>
        </w:rPr>
        <w:t>exceed the standa</w:t>
      </w:r>
      <w:r w:rsidR="00932666">
        <w:rPr>
          <w:bCs/>
        </w:rPr>
        <w:t xml:space="preserve">rds of their automotive class. </w:t>
      </w:r>
      <w:r w:rsidR="00932666">
        <w:t>Though</w:t>
      </w:r>
      <w:r w:rsidR="00E22444">
        <w:t xml:space="preserve"> GM, Lexus, and Nissan offer a couple of models at Porsche’s price/performance tier, they lack the pedigree an</w:t>
      </w:r>
      <w:r w:rsidR="00932666">
        <w:t xml:space="preserve">d variety of the Porsche line. </w:t>
      </w:r>
      <w:r>
        <w:t xml:space="preserve">With the exception of supercars, competitors in the product summary above compete </w:t>
      </w:r>
      <w:r w:rsidR="00CB626B">
        <w:t xml:space="preserve">with broad product lines </w:t>
      </w:r>
      <w:r>
        <w:t xml:space="preserve">in </w:t>
      </w:r>
      <w:r w:rsidR="00CB626B">
        <w:t>multiple</w:t>
      </w:r>
      <w:r>
        <w:t xml:space="preserve"> segments.</w:t>
      </w:r>
    </w:p>
    <w:p w:rsidR="005B74AD" w:rsidRDefault="005B74AD" w:rsidP="005B74AD">
      <w:pPr>
        <w:rPr>
          <w:bCs/>
        </w:rPr>
      </w:pPr>
    </w:p>
    <w:p w:rsidR="0040550A" w:rsidRDefault="0040550A" w:rsidP="001D2670">
      <w:r>
        <w:tab/>
        <w:t>Corporate oversight by V</w:t>
      </w:r>
      <w:r w:rsidR="00CB626B">
        <w:t>olkswagen</w:t>
      </w:r>
      <w:r>
        <w:t xml:space="preserve"> will impact the following </w:t>
      </w:r>
      <w:r w:rsidR="00CB626B">
        <w:t xml:space="preserve">elements of Porsche’s </w:t>
      </w:r>
      <w:r>
        <w:t>strateg</w:t>
      </w:r>
      <w:r w:rsidR="00CB626B">
        <w:t>y</w:t>
      </w:r>
      <w:r>
        <w:t>.</w:t>
      </w:r>
    </w:p>
    <w:p w:rsidR="00CB626B" w:rsidRDefault="00CB626B" w:rsidP="001D2670"/>
    <w:tbl>
      <w:tblPr>
        <w:tblStyle w:val="MediumList2"/>
        <w:tblW w:w="0" w:type="auto"/>
        <w:jc w:val="center"/>
        <w:tblLayout w:type="fixed"/>
        <w:tblLook w:val="04A0"/>
      </w:tblPr>
      <w:tblGrid>
        <w:gridCol w:w="1530"/>
        <w:gridCol w:w="3150"/>
        <w:gridCol w:w="4068"/>
      </w:tblGrid>
      <w:tr w:rsidR="007104D1">
        <w:trPr>
          <w:cnfStyle w:val="100000000000"/>
          <w:jc w:val="center"/>
        </w:trPr>
        <w:tc>
          <w:tcPr>
            <w:cnfStyle w:val="001000000100"/>
            <w:tcW w:w="1530" w:type="dxa"/>
          </w:tcPr>
          <w:p w:rsidR="007104D1" w:rsidRDefault="007104D1" w:rsidP="001D2670"/>
        </w:tc>
        <w:tc>
          <w:tcPr>
            <w:tcW w:w="3150" w:type="dxa"/>
          </w:tcPr>
          <w:p w:rsidR="007104D1" w:rsidRPr="00334CFA" w:rsidRDefault="007104D1" w:rsidP="007104D1">
            <w:pPr>
              <w:jc w:val="center"/>
              <w:cnfStyle w:val="100000000000"/>
              <w:rPr>
                <w:rFonts w:ascii="Times New Roman" w:hAnsi="Times New Roman" w:cs="Times New Roman"/>
                <w:b/>
              </w:rPr>
            </w:pPr>
            <w:r w:rsidRPr="00334CFA">
              <w:rPr>
                <w:rFonts w:ascii="Times New Roman" w:hAnsi="Times New Roman" w:cs="Times New Roman"/>
                <w:b/>
              </w:rPr>
              <w:t>Porsche</w:t>
            </w:r>
          </w:p>
        </w:tc>
        <w:tc>
          <w:tcPr>
            <w:tcW w:w="4068" w:type="dxa"/>
          </w:tcPr>
          <w:p w:rsidR="007104D1" w:rsidRPr="00334CFA" w:rsidRDefault="007104D1" w:rsidP="007104D1">
            <w:pPr>
              <w:jc w:val="center"/>
              <w:cnfStyle w:val="100000000000"/>
              <w:rPr>
                <w:rFonts w:ascii="Times New Roman" w:hAnsi="Times New Roman" w:cs="Times New Roman"/>
                <w:b/>
              </w:rPr>
            </w:pPr>
            <w:r w:rsidRPr="00334CFA">
              <w:rPr>
                <w:rFonts w:ascii="Times New Roman" w:hAnsi="Times New Roman" w:cs="Times New Roman"/>
                <w:b/>
              </w:rPr>
              <w:t>Volkswagen</w:t>
            </w:r>
          </w:p>
        </w:tc>
      </w:tr>
      <w:tr w:rsidR="007104D1">
        <w:trPr>
          <w:cnfStyle w:val="000000100000"/>
          <w:jc w:val="center"/>
        </w:trPr>
        <w:tc>
          <w:tcPr>
            <w:cnfStyle w:val="001000000000"/>
            <w:tcW w:w="1530" w:type="dxa"/>
            <w:tcBorders>
              <w:top w:val="single" w:sz="24" w:space="0" w:color="000000" w:themeColor="text1"/>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Ownership Status</w:t>
            </w:r>
          </w:p>
        </w:tc>
        <w:tc>
          <w:tcPr>
            <w:tcW w:w="3150" w:type="dxa"/>
            <w:tcBorders>
              <w:top w:val="single" w:sz="24" w:space="0" w:color="000000" w:themeColor="text1"/>
              <w:bottom w:val="single" w:sz="8" w:space="0" w:color="000000" w:themeColor="text1"/>
            </w:tcBorders>
            <w:tcMar>
              <w:left w:w="29" w:type="dxa"/>
              <w:right w:w="29" w:type="dxa"/>
            </w:tcMar>
          </w:tcPr>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Independent and highly successful car maker</w:t>
            </w:r>
          </w:p>
        </w:tc>
        <w:tc>
          <w:tcPr>
            <w:tcW w:w="4068" w:type="dxa"/>
            <w:tcBorders>
              <w:top w:val="single" w:sz="24" w:space="0" w:color="000000" w:themeColor="text1"/>
              <w:bottom w:val="single" w:sz="8" w:space="0" w:color="000000" w:themeColor="text1"/>
            </w:tcBorders>
            <w:tcMar>
              <w:left w:w="29" w:type="dxa"/>
              <w:right w:w="29" w:type="dxa"/>
            </w:tcMar>
          </w:tcPr>
          <w:p w:rsidR="007104D1" w:rsidRPr="00334CFA" w:rsidRDefault="007104D1" w:rsidP="00CB626B">
            <w:pPr>
              <w:cnfStyle w:val="000000100000"/>
              <w:rPr>
                <w:rFonts w:ascii="Times New Roman" w:hAnsi="Times New Roman" w:cs="Times New Roman"/>
              </w:rPr>
            </w:pPr>
            <w:r w:rsidRPr="00334CFA">
              <w:rPr>
                <w:rFonts w:ascii="Times New Roman" w:hAnsi="Times New Roman" w:cs="Times New Roman"/>
              </w:rPr>
              <w:t xml:space="preserve">One </w:t>
            </w:r>
            <w:r w:rsidR="001736A3">
              <w:rPr>
                <w:rFonts w:ascii="Times New Roman" w:hAnsi="Times New Roman" w:cs="Times New Roman"/>
              </w:rPr>
              <w:t>division (among</w:t>
            </w:r>
            <w:r w:rsidRPr="00334CFA">
              <w:rPr>
                <w:rFonts w:ascii="Times New Roman" w:hAnsi="Times New Roman" w:cs="Times New Roman"/>
              </w:rPr>
              <w:t xml:space="preserve"> several premium sports car makers</w:t>
            </w:r>
            <w:r w:rsidR="00334CFA" w:rsidRPr="00334CFA">
              <w:rPr>
                <w:rFonts w:ascii="Times New Roman" w:hAnsi="Times New Roman" w:cs="Times New Roman"/>
              </w:rPr>
              <w:t>)</w:t>
            </w:r>
            <w:r w:rsidRPr="00334CFA">
              <w:rPr>
                <w:rFonts w:ascii="Times New Roman" w:hAnsi="Times New Roman" w:cs="Times New Roman"/>
              </w:rPr>
              <w:t xml:space="preserve"> within the world’s 3</w:t>
            </w:r>
            <w:r w:rsidRPr="00334CFA">
              <w:rPr>
                <w:rFonts w:ascii="Times New Roman" w:hAnsi="Times New Roman" w:cs="Times New Roman"/>
                <w:vertAlign w:val="superscript"/>
              </w:rPr>
              <w:t>rd</w:t>
            </w:r>
            <w:r w:rsidRPr="00334CFA">
              <w:rPr>
                <w:rFonts w:ascii="Times New Roman" w:hAnsi="Times New Roman" w:cs="Times New Roman"/>
              </w:rPr>
              <w:t xml:space="preserve"> </w:t>
            </w:r>
            <w:r w:rsidR="00CB626B">
              <w:rPr>
                <w:rFonts w:ascii="Times New Roman" w:hAnsi="Times New Roman" w:cs="Times New Roman"/>
              </w:rPr>
              <w:t xml:space="preserve">largest </w:t>
            </w:r>
            <w:r w:rsidRPr="00334CFA">
              <w:rPr>
                <w:rFonts w:ascii="Times New Roman" w:hAnsi="Times New Roman" w:cs="Times New Roman"/>
              </w:rPr>
              <w:t>automo</w:t>
            </w:r>
            <w:r w:rsidR="00CB626B">
              <w:rPr>
                <w:rFonts w:ascii="Times New Roman" w:hAnsi="Times New Roman" w:cs="Times New Roman"/>
              </w:rPr>
              <w:t>tive corporation</w:t>
            </w:r>
          </w:p>
        </w:tc>
      </w:tr>
      <w:tr w:rsidR="00334CFA">
        <w:trPr>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334CFA" w:rsidRPr="0040550A" w:rsidRDefault="00334CFA" w:rsidP="001D2670">
            <w:pPr>
              <w:rPr>
                <w:rFonts w:ascii="Times New Roman" w:hAnsi="Times New Roman" w:cs="Times New Roman"/>
                <w:i/>
              </w:rPr>
            </w:pPr>
            <w:r w:rsidRPr="0040550A">
              <w:rPr>
                <w:rFonts w:ascii="Times New Roman" w:hAnsi="Times New Roman" w:cs="Times New Roman"/>
                <w:i/>
              </w:rPr>
              <w:t>Level/Type of Diversification</w:t>
            </w:r>
          </w:p>
        </w:tc>
        <w:tc>
          <w:tcPr>
            <w:tcW w:w="3150" w:type="dxa"/>
            <w:tcBorders>
              <w:top w:val="single" w:sz="8" w:space="0" w:color="000000" w:themeColor="text1"/>
              <w:bottom w:val="single" w:sz="8" w:space="0" w:color="000000" w:themeColor="text1"/>
            </w:tcBorders>
            <w:tcMar>
              <w:left w:w="29" w:type="dxa"/>
              <w:right w:w="29" w:type="dxa"/>
            </w:tcMar>
          </w:tcPr>
          <w:p w:rsidR="00334CFA" w:rsidRDefault="00334CFA" w:rsidP="001D2670">
            <w:pPr>
              <w:cnfStyle w:val="000000000000"/>
              <w:rPr>
                <w:rFonts w:ascii="Times New Roman" w:hAnsi="Times New Roman" w:cs="Times New Roman"/>
              </w:rPr>
            </w:pPr>
            <w:r>
              <w:rPr>
                <w:rFonts w:ascii="Times New Roman" w:hAnsi="Times New Roman" w:cs="Times New Roman"/>
              </w:rPr>
              <w:t>Low</w:t>
            </w:r>
          </w:p>
          <w:p w:rsidR="00334CFA" w:rsidRPr="00334CFA" w:rsidRDefault="00334CFA" w:rsidP="00CB626B">
            <w:pPr>
              <w:cnfStyle w:val="000000000000"/>
              <w:rPr>
                <w:rFonts w:ascii="Times New Roman" w:hAnsi="Times New Roman" w:cs="Times New Roman"/>
              </w:rPr>
            </w:pPr>
            <w:r>
              <w:rPr>
                <w:rFonts w:ascii="Times New Roman" w:hAnsi="Times New Roman" w:cs="Times New Roman"/>
              </w:rPr>
              <w:t>Single</w:t>
            </w:r>
            <w:r w:rsidR="00CB626B">
              <w:rPr>
                <w:rFonts w:ascii="Times New Roman" w:hAnsi="Times New Roman" w:cs="Times New Roman"/>
              </w:rPr>
              <w:t>-</w:t>
            </w:r>
            <w:r>
              <w:rPr>
                <w:rFonts w:ascii="Times New Roman" w:hAnsi="Times New Roman" w:cs="Times New Roman"/>
              </w:rPr>
              <w:t>level business</w:t>
            </w:r>
          </w:p>
        </w:tc>
        <w:tc>
          <w:tcPr>
            <w:tcW w:w="4068" w:type="dxa"/>
            <w:tcBorders>
              <w:top w:val="single" w:sz="8" w:space="0" w:color="000000" w:themeColor="text1"/>
              <w:bottom w:val="single" w:sz="8" w:space="0" w:color="000000" w:themeColor="text1"/>
            </w:tcBorders>
            <w:tcMar>
              <w:left w:w="29" w:type="dxa"/>
              <w:right w:w="29" w:type="dxa"/>
            </w:tcMar>
          </w:tcPr>
          <w:p w:rsidR="00334CFA" w:rsidRDefault="00334CFA" w:rsidP="001D2670">
            <w:pPr>
              <w:cnfStyle w:val="000000000000"/>
              <w:rPr>
                <w:rFonts w:ascii="Times New Roman" w:hAnsi="Times New Roman" w:cs="Times New Roman"/>
              </w:rPr>
            </w:pPr>
            <w:r>
              <w:rPr>
                <w:rFonts w:ascii="Times New Roman" w:hAnsi="Times New Roman" w:cs="Times New Roman"/>
              </w:rPr>
              <w:t>Moderate to high</w:t>
            </w:r>
          </w:p>
          <w:p w:rsidR="00334CFA" w:rsidRPr="00334CFA" w:rsidRDefault="00334CFA" w:rsidP="001D2670">
            <w:pPr>
              <w:cnfStyle w:val="000000000000"/>
              <w:rPr>
                <w:rFonts w:ascii="Times New Roman" w:hAnsi="Times New Roman" w:cs="Times New Roman"/>
              </w:rPr>
            </w:pPr>
            <w:r>
              <w:rPr>
                <w:rFonts w:ascii="Times New Roman" w:hAnsi="Times New Roman" w:cs="Times New Roman"/>
              </w:rPr>
              <w:t>Related constrained</w:t>
            </w:r>
            <w:r w:rsidR="00CB626B">
              <w:rPr>
                <w:rFonts w:ascii="Times New Roman" w:hAnsi="Times New Roman" w:cs="Times New Roman"/>
              </w:rPr>
              <w:t xml:space="preserve"> diversification</w:t>
            </w:r>
          </w:p>
        </w:tc>
      </w:tr>
      <w:tr w:rsidR="007104D1">
        <w:trPr>
          <w:cnfStyle w:val="000000100000"/>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Objectives</w:t>
            </w:r>
          </w:p>
        </w:tc>
        <w:tc>
          <w:tcPr>
            <w:tcW w:w="3150" w:type="dxa"/>
            <w:tcBorders>
              <w:top w:val="single" w:sz="8" w:space="0" w:color="000000" w:themeColor="text1"/>
              <w:bottom w:val="single" w:sz="8" w:space="0" w:color="000000" w:themeColor="text1"/>
            </w:tcBorders>
            <w:tcMar>
              <w:left w:w="29" w:type="dxa"/>
              <w:right w:w="29" w:type="dxa"/>
            </w:tcMar>
          </w:tcPr>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High shareholder returns</w:t>
            </w:r>
          </w:p>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Grow sales</w:t>
            </w:r>
          </w:p>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Maintain brand prestige</w:t>
            </w:r>
          </w:p>
        </w:tc>
        <w:tc>
          <w:tcPr>
            <w:tcW w:w="4068" w:type="dxa"/>
            <w:tcBorders>
              <w:top w:val="single" w:sz="8" w:space="0" w:color="000000" w:themeColor="text1"/>
              <w:bottom w:val="single" w:sz="8" w:space="0" w:color="000000" w:themeColor="text1"/>
            </w:tcBorders>
            <w:tcMar>
              <w:left w:w="29" w:type="dxa"/>
              <w:right w:w="29" w:type="dxa"/>
            </w:tcMar>
          </w:tcPr>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Integrate with VW family</w:t>
            </w:r>
          </w:p>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Extend product line</w:t>
            </w:r>
          </w:p>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Increase production</w:t>
            </w:r>
          </w:p>
        </w:tc>
      </w:tr>
      <w:tr w:rsidR="007104D1">
        <w:trPr>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International</w:t>
            </w:r>
            <w:r w:rsidR="00CB626B">
              <w:rPr>
                <w:rFonts w:ascii="Times New Roman" w:hAnsi="Times New Roman" w:cs="Times New Roman"/>
                <w:i/>
              </w:rPr>
              <w:t xml:space="preserve"> Approach</w:t>
            </w:r>
          </w:p>
        </w:tc>
        <w:tc>
          <w:tcPr>
            <w:tcW w:w="3150" w:type="dxa"/>
            <w:tcBorders>
              <w:top w:val="single" w:sz="8" w:space="0" w:color="000000" w:themeColor="text1"/>
              <w:bottom w:val="single" w:sz="8" w:space="0" w:color="000000" w:themeColor="text1"/>
            </w:tcBorders>
            <w:tcMar>
              <w:left w:w="29" w:type="dxa"/>
              <w:right w:w="29" w:type="dxa"/>
            </w:tcMar>
          </w:tcPr>
          <w:p w:rsidR="007104D1" w:rsidRPr="00334CFA" w:rsidRDefault="007104D1" w:rsidP="001D2670">
            <w:pPr>
              <w:cnfStyle w:val="000000000000"/>
              <w:rPr>
                <w:rFonts w:ascii="Times New Roman" w:hAnsi="Times New Roman" w:cs="Times New Roman"/>
              </w:rPr>
            </w:pPr>
            <w:r w:rsidRPr="00334CFA">
              <w:rPr>
                <w:rFonts w:ascii="Times New Roman" w:hAnsi="Times New Roman" w:cs="Times New Roman"/>
              </w:rPr>
              <w:t>Global – standardized models across country markets</w:t>
            </w:r>
          </w:p>
        </w:tc>
        <w:tc>
          <w:tcPr>
            <w:tcW w:w="4068" w:type="dxa"/>
            <w:tcBorders>
              <w:top w:val="single" w:sz="8" w:space="0" w:color="000000" w:themeColor="text1"/>
              <w:bottom w:val="single" w:sz="8" w:space="0" w:color="000000" w:themeColor="text1"/>
            </w:tcBorders>
            <w:tcMar>
              <w:left w:w="29" w:type="dxa"/>
              <w:right w:w="29" w:type="dxa"/>
            </w:tcMar>
          </w:tcPr>
          <w:p w:rsidR="007104D1" w:rsidRPr="00334CFA" w:rsidRDefault="007104D1" w:rsidP="007104D1">
            <w:pPr>
              <w:cnfStyle w:val="000000000000"/>
              <w:rPr>
                <w:rFonts w:ascii="Times New Roman" w:hAnsi="Times New Roman" w:cs="Times New Roman"/>
              </w:rPr>
            </w:pPr>
            <w:r w:rsidRPr="00334CFA">
              <w:rPr>
                <w:rFonts w:ascii="Times New Roman" w:hAnsi="Times New Roman" w:cs="Times New Roman"/>
              </w:rPr>
              <w:t>Transnational – models modified to satisfy local preferences</w:t>
            </w:r>
          </w:p>
        </w:tc>
      </w:tr>
      <w:tr w:rsidR="007104D1">
        <w:trPr>
          <w:cnfStyle w:val="000000100000"/>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Entry Mode</w:t>
            </w:r>
          </w:p>
        </w:tc>
        <w:tc>
          <w:tcPr>
            <w:tcW w:w="3150" w:type="dxa"/>
            <w:tcBorders>
              <w:top w:val="single" w:sz="8" w:space="0" w:color="000000" w:themeColor="text1"/>
              <w:bottom w:val="single" w:sz="8" w:space="0" w:color="000000" w:themeColor="text1"/>
            </w:tcBorders>
            <w:tcMar>
              <w:left w:w="29" w:type="dxa"/>
              <w:right w:w="29" w:type="dxa"/>
            </w:tcMar>
          </w:tcPr>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Export – from single production facility</w:t>
            </w:r>
          </w:p>
        </w:tc>
        <w:tc>
          <w:tcPr>
            <w:tcW w:w="4068" w:type="dxa"/>
            <w:tcBorders>
              <w:top w:val="single" w:sz="8" w:space="0" w:color="000000" w:themeColor="text1"/>
              <w:bottom w:val="single" w:sz="8" w:space="0" w:color="000000" w:themeColor="text1"/>
            </w:tcBorders>
            <w:tcMar>
              <w:left w:w="29" w:type="dxa"/>
              <w:right w:w="29" w:type="dxa"/>
            </w:tcMar>
          </w:tcPr>
          <w:p w:rsidR="007104D1" w:rsidRPr="00334CFA" w:rsidRDefault="007104D1" w:rsidP="00CB626B">
            <w:pPr>
              <w:cnfStyle w:val="000000100000"/>
              <w:rPr>
                <w:rFonts w:ascii="Times New Roman" w:hAnsi="Times New Roman" w:cs="Times New Roman"/>
              </w:rPr>
            </w:pPr>
            <w:r w:rsidRPr="00334CFA">
              <w:rPr>
                <w:rFonts w:ascii="Times New Roman" w:hAnsi="Times New Roman" w:cs="Times New Roman"/>
              </w:rPr>
              <w:t xml:space="preserve">Greenfield </w:t>
            </w:r>
            <w:r w:rsidR="00CB626B">
              <w:rPr>
                <w:rFonts w:ascii="Times New Roman" w:hAnsi="Times New Roman" w:cs="Times New Roman"/>
              </w:rPr>
              <w:t>v</w:t>
            </w:r>
            <w:r w:rsidRPr="00334CFA">
              <w:rPr>
                <w:rFonts w:ascii="Times New Roman" w:hAnsi="Times New Roman" w:cs="Times New Roman"/>
              </w:rPr>
              <w:t>entures – from 62 flexible production facilities worldwide</w:t>
            </w:r>
          </w:p>
        </w:tc>
      </w:tr>
      <w:tr w:rsidR="007104D1">
        <w:trPr>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Innovation</w:t>
            </w:r>
          </w:p>
        </w:tc>
        <w:tc>
          <w:tcPr>
            <w:tcW w:w="3150" w:type="dxa"/>
            <w:tcBorders>
              <w:top w:val="single" w:sz="8" w:space="0" w:color="000000" w:themeColor="text1"/>
              <w:bottom w:val="single" w:sz="8" w:space="0" w:color="000000" w:themeColor="text1"/>
            </w:tcBorders>
            <w:tcMar>
              <w:left w:w="29" w:type="dxa"/>
              <w:right w:w="29" w:type="dxa"/>
            </w:tcMar>
          </w:tcPr>
          <w:p w:rsidR="007104D1" w:rsidRPr="00334CFA" w:rsidRDefault="007104D1" w:rsidP="00CB626B">
            <w:pPr>
              <w:cnfStyle w:val="000000000000"/>
              <w:rPr>
                <w:rFonts w:ascii="Times New Roman" w:hAnsi="Times New Roman" w:cs="Times New Roman"/>
              </w:rPr>
            </w:pPr>
            <w:r w:rsidRPr="00334CFA">
              <w:rPr>
                <w:rFonts w:ascii="Times New Roman" w:hAnsi="Times New Roman" w:cs="Times New Roman"/>
              </w:rPr>
              <w:t>Inimitable technology develop</w:t>
            </w:r>
            <w:r w:rsidR="00CB626B">
              <w:rPr>
                <w:rFonts w:ascii="Times New Roman" w:hAnsi="Times New Roman" w:cs="Times New Roman"/>
              </w:rPr>
              <w:t xml:space="preserve">ed through </w:t>
            </w:r>
            <w:r w:rsidRPr="00334CFA">
              <w:rPr>
                <w:rFonts w:ascii="Times New Roman" w:hAnsi="Times New Roman" w:cs="Times New Roman"/>
              </w:rPr>
              <w:t>racing programs</w:t>
            </w:r>
          </w:p>
        </w:tc>
        <w:tc>
          <w:tcPr>
            <w:tcW w:w="4068" w:type="dxa"/>
            <w:tcBorders>
              <w:top w:val="single" w:sz="8" w:space="0" w:color="000000" w:themeColor="text1"/>
              <w:bottom w:val="single" w:sz="8" w:space="0" w:color="000000" w:themeColor="text1"/>
            </w:tcBorders>
            <w:tcMar>
              <w:left w:w="29" w:type="dxa"/>
              <w:right w:w="29" w:type="dxa"/>
            </w:tcMar>
          </w:tcPr>
          <w:p w:rsidR="007104D1" w:rsidRPr="00334CFA" w:rsidRDefault="00CB626B" w:rsidP="00CB626B">
            <w:pPr>
              <w:cnfStyle w:val="000000000000"/>
              <w:rPr>
                <w:rFonts w:ascii="Times New Roman" w:hAnsi="Times New Roman" w:cs="Times New Roman"/>
              </w:rPr>
            </w:pPr>
            <w:r>
              <w:rPr>
                <w:rFonts w:ascii="Times New Roman" w:hAnsi="Times New Roman" w:cs="Times New Roman"/>
              </w:rPr>
              <w:t>T</w:t>
            </w:r>
            <w:r w:rsidRPr="00334CFA">
              <w:rPr>
                <w:rFonts w:ascii="Times New Roman" w:hAnsi="Times New Roman" w:cs="Times New Roman"/>
              </w:rPr>
              <w:t xml:space="preserve">echnology </w:t>
            </w:r>
            <w:r>
              <w:rPr>
                <w:rFonts w:ascii="Times New Roman" w:hAnsi="Times New Roman" w:cs="Times New Roman"/>
              </w:rPr>
              <w:t>s</w:t>
            </w:r>
            <w:r w:rsidR="007104D1" w:rsidRPr="00334CFA">
              <w:rPr>
                <w:rFonts w:ascii="Times New Roman" w:hAnsi="Times New Roman" w:cs="Times New Roman"/>
              </w:rPr>
              <w:t>har</w:t>
            </w:r>
            <w:r>
              <w:rPr>
                <w:rFonts w:ascii="Times New Roman" w:hAnsi="Times New Roman" w:cs="Times New Roman"/>
              </w:rPr>
              <w:t>ed</w:t>
            </w:r>
            <w:r w:rsidR="007104D1" w:rsidRPr="00334CFA">
              <w:rPr>
                <w:rFonts w:ascii="Times New Roman" w:hAnsi="Times New Roman" w:cs="Times New Roman"/>
              </w:rPr>
              <w:t xml:space="preserve"> with other companies </w:t>
            </w:r>
            <w:r>
              <w:rPr>
                <w:rFonts w:ascii="Times New Roman" w:hAnsi="Times New Roman" w:cs="Times New Roman"/>
              </w:rPr>
              <w:t>i</w:t>
            </w:r>
            <w:r w:rsidR="007104D1" w:rsidRPr="00334CFA">
              <w:rPr>
                <w:rFonts w:ascii="Times New Roman" w:hAnsi="Times New Roman" w:cs="Times New Roman"/>
              </w:rPr>
              <w:t>n the VW Group</w:t>
            </w:r>
          </w:p>
        </w:tc>
      </w:tr>
      <w:tr w:rsidR="007104D1">
        <w:trPr>
          <w:cnfStyle w:val="000000100000"/>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Competitive Advantage</w:t>
            </w:r>
          </w:p>
        </w:tc>
        <w:tc>
          <w:tcPr>
            <w:tcW w:w="3150" w:type="dxa"/>
            <w:tcBorders>
              <w:top w:val="single" w:sz="8" w:space="0" w:color="000000" w:themeColor="text1"/>
              <w:bottom w:val="single" w:sz="8" w:space="0" w:color="000000" w:themeColor="text1"/>
            </w:tcBorders>
            <w:tcMar>
              <w:left w:w="29" w:type="dxa"/>
              <w:right w:w="29" w:type="dxa"/>
            </w:tcMar>
          </w:tcPr>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 xml:space="preserve">Prestige </w:t>
            </w:r>
          </w:p>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Engineering excellence</w:t>
            </w:r>
          </w:p>
          <w:p w:rsidR="007104D1" w:rsidRPr="00334CFA" w:rsidRDefault="007104D1" w:rsidP="007104D1">
            <w:pPr>
              <w:cnfStyle w:val="000000100000"/>
              <w:rPr>
                <w:rFonts w:ascii="Times New Roman" w:hAnsi="Times New Roman" w:cs="Times New Roman"/>
              </w:rPr>
            </w:pPr>
            <w:r w:rsidRPr="00334CFA">
              <w:rPr>
                <w:rFonts w:ascii="Times New Roman" w:hAnsi="Times New Roman" w:cs="Times New Roman"/>
              </w:rPr>
              <w:t>Price/quality value</w:t>
            </w:r>
          </w:p>
        </w:tc>
        <w:tc>
          <w:tcPr>
            <w:tcW w:w="4068" w:type="dxa"/>
            <w:tcBorders>
              <w:top w:val="single" w:sz="8" w:space="0" w:color="000000" w:themeColor="text1"/>
              <w:bottom w:val="single" w:sz="8" w:space="0" w:color="000000" w:themeColor="text1"/>
            </w:tcBorders>
            <w:tcMar>
              <w:left w:w="29" w:type="dxa"/>
              <w:right w:w="29" w:type="dxa"/>
            </w:tcMar>
          </w:tcPr>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Production and distribution synergies</w:t>
            </w:r>
          </w:p>
          <w:p w:rsidR="007104D1" w:rsidRPr="00334CFA" w:rsidRDefault="007104D1" w:rsidP="001D2670">
            <w:pPr>
              <w:cnfStyle w:val="000000100000"/>
              <w:rPr>
                <w:rFonts w:ascii="Times New Roman" w:hAnsi="Times New Roman" w:cs="Times New Roman"/>
              </w:rPr>
            </w:pPr>
            <w:r w:rsidRPr="00334CFA">
              <w:rPr>
                <w:rFonts w:ascii="Times New Roman" w:hAnsi="Times New Roman" w:cs="Times New Roman"/>
              </w:rPr>
              <w:t>Best practices leveraged across brands</w:t>
            </w:r>
          </w:p>
          <w:p w:rsidR="007104D1" w:rsidRPr="00334CFA" w:rsidRDefault="007104D1" w:rsidP="001D2670">
            <w:pPr>
              <w:cnfStyle w:val="000000100000"/>
              <w:rPr>
                <w:rFonts w:ascii="Times New Roman" w:hAnsi="Times New Roman" w:cs="Times New Roman"/>
              </w:rPr>
            </w:pPr>
          </w:p>
        </w:tc>
      </w:tr>
      <w:tr w:rsidR="007104D1">
        <w:trPr>
          <w:jc w:val="center"/>
        </w:trPr>
        <w:tc>
          <w:tcPr>
            <w:cnfStyle w:val="001000000000"/>
            <w:tcW w:w="1530" w:type="dxa"/>
            <w:tcBorders>
              <w:top w:val="single" w:sz="8" w:space="0" w:color="595959" w:themeColor="text1" w:themeTint="A6"/>
              <w:bottom w:val="single" w:sz="8" w:space="0" w:color="595959" w:themeColor="text1" w:themeTint="A6"/>
            </w:tcBorders>
            <w:tcMar>
              <w:left w:w="29" w:type="dxa"/>
              <w:right w:w="29" w:type="dxa"/>
            </w:tcMar>
          </w:tcPr>
          <w:p w:rsidR="007104D1" w:rsidRPr="0040550A" w:rsidRDefault="007104D1" w:rsidP="001D2670">
            <w:pPr>
              <w:rPr>
                <w:rFonts w:ascii="Times New Roman" w:hAnsi="Times New Roman" w:cs="Times New Roman"/>
                <w:i/>
              </w:rPr>
            </w:pPr>
            <w:r w:rsidRPr="0040550A">
              <w:rPr>
                <w:rFonts w:ascii="Times New Roman" w:hAnsi="Times New Roman" w:cs="Times New Roman"/>
                <w:i/>
              </w:rPr>
              <w:t>Strategy</w:t>
            </w:r>
          </w:p>
        </w:tc>
        <w:tc>
          <w:tcPr>
            <w:tcW w:w="3150" w:type="dxa"/>
            <w:tcBorders>
              <w:top w:val="single" w:sz="8" w:space="0" w:color="000000" w:themeColor="text1"/>
              <w:bottom w:val="single" w:sz="8" w:space="0" w:color="auto"/>
            </w:tcBorders>
            <w:tcMar>
              <w:left w:w="29" w:type="dxa"/>
              <w:right w:w="29" w:type="dxa"/>
            </w:tcMar>
          </w:tcPr>
          <w:p w:rsidR="007104D1" w:rsidRPr="00334CFA" w:rsidRDefault="007104D1" w:rsidP="007104D1">
            <w:pPr>
              <w:cnfStyle w:val="000000000000"/>
              <w:rPr>
                <w:rFonts w:ascii="Times New Roman" w:hAnsi="Times New Roman" w:cs="Times New Roman"/>
              </w:rPr>
            </w:pPr>
            <w:r w:rsidRPr="00334CFA">
              <w:rPr>
                <w:rFonts w:ascii="Times New Roman" w:hAnsi="Times New Roman" w:cs="Times New Roman"/>
              </w:rPr>
              <w:t>Focused differentiation</w:t>
            </w:r>
          </w:p>
        </w:tc>
        <w:tc>
          <w:tcPr>
            <w:tcW w:w="4068" w:type="dxa"/>
            <w:tcBorders>
              <w:top w:val="single" w:sz="8" w:space="0" w:color="000000" w:themeColor="text1"/>
              <w:bottom w:val="single" w:sz="8" w:space="0" w:color="auto"/>
            </w:tcBorders>
            <w:tcMar>
              <w:left w:w="29" w:type="dxa"/>
              <w:right w:w="29" w:type="dxa"/>
            </w:tcMar>
          </w:tcPr>
          <w:p w:rsidR="007104D1" w:rsidRPr="00334CFA" w:rsidRDefault="007104D1" w:rsidP="007104D1">
            <w:pPr>
              <w:cnfStyle w:val="000000000000"/>
              <w:rPr>
                <w:rFonts w:ascii="Times New Roman" w:hAnsi="Times New Roman" w:cs="Times New Roman"/>
              </w:rPr>
            </w:pPr>
            <w:r w:rsidRPr="00334CFA">
              <w:rPr>
                <w:rFonts w:ascii="Times New Roman" w:hAnsi="Times New Roman" w:cs="Times New Roman"/>
              </w:rPr>
              <w:t xml:space="preserve">Broader differentiation </w:t>
            </w:r>
          </w:p>
        </w:tc>
      </w:tr>
    </w:tbl>
    <w:p w:rsidR="00480862" w:rsidRDefault="00480862" w:rsidP="00480862">
      <w:bookmarkStart w:id="0" w:name="_GoBack"/>
      <w:bookmarkEnd w:id="0"/>
    </w:p>
    <w:p w:rsidR="00460831" w:rsidRDefault="00480862" w:rsidP="001D2670">
      <w:r w:rsidRPr="00480862">
        <w:tab/>
      </w:r>
      <w:proofErr w:type="gramStart"/>
      <w:r w:rsidRPr="00480862">
        <w:rPr>
          <w:u w:val="single"/>
        </w:rPr>
        <w:t>Diversification</w:t>
      </w:r>
      <w:r w:rsidR="001736A3">
        <w:t>.</w:t>
      </w:r>
      <w:proofErr w:type="gramEnd"/>
      <w:r w:rsidR="001736A3">
        <w:t xml:space="preserve"> </w:t>
      </w:r>
      <w:r w:rsidR="0040550A" w:rsidRPr="00480862">
        <w:t>As</w:t>
      </w:r>
      <w:r w:rsidR="0040550A">
        <w:t xml:space="preserve"> a new member of the V</w:t>
      </w:r>
      <w:r w:rsidR="00054456">
        <w:t xml:space="preserve">olkswagen </w:t>
      </w:r>
      <w:r w:rsidR="0040550A">
        <w:t>team, Porsche wil</w:t>
      </w:r>
      <w:r w:rsidR="001736A3">
        <w:t>l no longer exist in isolation.</w:t>
      </w:r>
      <w:r w:rsidR="0040550A">
        <w:t xml:space="preserve"> </w:t>
      </w:r>
      <w:r w:rsidR="00054456">
        <w:t>VW will be seeking economies and shari</w:t>
      </w:r>
      <w:r w:rsidR="001736A3">
        <w:t>ng opportunities across brands.</w:t>
      </w:r>
      <w:r w:rsidR="00054456">
        <w:t xml:space="preserve"> In fact, corporate leaders have already communicated expectations for Porsche to share innovation, manufacturing, quality, technology, R&amp;D, components, and platforms to contribute to VW Group synergy.  </w:t>
      </w:r>
    </w:p>
    <w:p w:rsidR="00460831" w:rsidRDefault="00460831" w:rsidP="001D2670"/>
    <w:p w:rsidR="00B64C67" w:rsidRDefault="00460831" w:rsidP="001D2670">
      <w:r>
        <w:tab/>
        <w:t xml:space="preserve">Firms presume that </w:t>
      </w:r>
      <w:r w:rsidR="000774CE">
        <w:t xml:space="preserve">the </w:t>
      </w:r>
      <w:r>
        <w:t>sharing of activities and resources will result in increased competitiveness and better</w:t>
      </w:r>
      <w:r w:rsidR="004315F2">
        <w:t xml:space="preserve"> returns for all participants. </w:t>
      </w:r>
      <w:r>
        <w:t xml:space="preserve">VW certainly expects to </w:t>
      </w:r>
      <w:r w:rsidR="000774CE">
        <w:t>achieve greater market power and the ability to block competitor moves t</w:t>
      </w:r>
      <w:r w:rsidR="004315F2">
        <w:t xml:space="preserve">hrough multipoint competition. </w:t>
      </w:r>
      <w:r w:rsidR="000774CE">
        <w:t>The corporation anticipates the transfer of core competencies maintained by Porsche, and the assignment of key Porsche executives to other brands is one wa</w:t>
      </w:r>
      <w:r w:rsidR="004315F2">
        <w:t xml:space="preserve">y to facilitate this transfer. </w:t>
      </w:r>
      <w:r w:rsidR="000774CE">
        <w:t xml:space="preserve">Not only is the loss of key members of the top management team </w:t>
      </w:r>
      <w:r w:rsidR="000774CE">
        <w:lastRenderedPageBreak/>
        <w:t xml:space="preserve">detrimental to the company, </w:t>
      </w:r>
      <w:r w:rsidR="00976995">
        <w:t xml:space="preserve">but </w:t>
      </w:r>
      <w:r w:rsidR="000774CE">
        <w:t>a</w:t>
      </w:r>
      <w:r w:rsidR="00054456">
        <w:t>ny new demands on Porsche will deflect attention away from the division’s singular focus.</w:t>
      </w:r>
    </w:p>
    <w:p w:rsidR="00DD1544" w:rsidRDefault="00DD1544" w:rsidP="00DD1544">
      <w:pPr>
        <w:rPr>
          <w:u w:val="single"/>
        </w:rPr>
      </w:pPr>
    </w:p>
    <w:p w:rsidR="00DD1544" w:rsidRDefault="00DD1544" w:rsidP="00DD1544">
      <w:r w:rsidRPr="00DD1544">
        <w:tab/>
      </w:r>
      <w:proofErr w:type="gramStart"/>
      <w:r w:rsidRPr="00F736B2">
        <w:rPr>
          <w:u w:val="single"/>
        </w:rPr>
        <w:t>Synerg</w:t>
      </w:r>
      <w:r>
        <w:rPr>
          <w:u w:val="single"/>
        </w:rPr>
        <w:t>y</w:t>
      </w:r>
      <w:r w:rsidR="004315F2">
        <w:t>.</w:t>
      </w:r>
      <w:proofErr w:type="gramEnd"/>
      <w:r w:rsidR="004315F2">
        <w:t xml:space="preserve"> </w:t>
      </w:r>
      <w:r>
        <w:t>Synergy exists when the value created by division</w:t>
      </w:r>
      <w:r w:rsidR="00560408">
        <w:t>s</w:t>
      </w:r>
      <w:r>
        <w:t xml:space="preserve"> working together exceeds the val</w:t>
      </w:r>
      <w:r w:rsidR="004315F2">
        <w:t xml:space="preserve">ue of operating independently. </w:t>
      </w:r>
      <w:r>
        <w:t xml:space="preserve">Because cost does not have a </w:t>
      </w:r>
      <w:r w:rsidR="00560408">
        <w:t xml:space="preserve">prominent </w:t>
      </w:r>
      <w:r>
        <w:t>role in Porsche’s strategy, the benefits of integrating with VW ma</w:t>
      </w:r>
      <w:r w:rsidR="004315F2">
        <w:t xml:space="preserve">y not be immediately apparent. </w:t>
      </w:r>
      <w:r>
        <w:t>The corporation does not seem to bring a</w:t>
      </w:r>
      <w:r w:rsidR="004315F2">
        <w:t>s much to the table as Porsche.</w:t>
      </w:r>
      <w:r>
        <w:t xml:space="preserve"> The resources and activities VW offers to share do not enhance Porsche’s product features and</w:t>
      </w:r>
      <w:r w:rsidR="000423D3">
        <w:t xml:space="preserve"> </w:t>
      </w:r>
      <w:r>
        <w:t xml:space="preserve">are not necessary to heighten the company’s ability to compete.  </w:t>
      </w:r>
    </w:p>
    <w:p w:rsidR="00DD1544" w:rsidRDefault="00DD1544" w:rsidP="00DD1544"/>
    <w:p w:rsidR="00DD1544" w:rsidRDefault="00DD1544" w:rsidP="00DD1544">
      <w:r>
        <w:tab/>
        <w:t xml:space="preserve">However, VW’s stronger presence in foreign markets does offer Porsche an opportunity to tap into </w:t>
      </w:r>
      <w:r w:rsidR="00560408">
        <w:t>the parent company</w:t>
      </w:r>
      <w:r>
        <w:t xml:space="preserve">’s unrivaled distribution capabilities and </w:t>
      </w:r>
      <w:r w:rsidR="000423D3">
        <w:t xml:space="preserve">to </w:t>
      </w:r>
      <w:r>
        <w:t>extend its reach or penetration into new and emerging markets</w:t>
      </w:r>
      <w:r w:rsidR="004315F2">
        <w:t xml:space="preserve">. </w:t>
      </w:r>
      <w:r w:rsidR="000423D3">
        <w:t>(A</w:t>
      </w:r>
      <w:r>
        <w:t>nd, differentiation in emerging countries is more successful with greater scale</w:t>
      </w:r>
      <w:r w:rsidR="000423D3">
        <w:t>)</w:t>
      </w:r>
      <w:r w:rsidR="004315F2">
        <w:t xml:space="preserve">. </w:t>
      </w:r>
      <w:r>
        <w:t xml:space="preserve">Exporting generally reduces the firm’s control over marketing and distribution functions, </w:t>
      </w:r>
      <w:r w:rsidR="0027782A">
        <w:t>so</w:t>
      </w:r>
      <w:r>
        <w:t xml:space="preserve"> </w:t>
      </w:r>
      <w:r w:rsidR="0027782A">
        <w:t>access to</w:t>
      </w:r>
      <w:r>
        <w:t xml:space="preserve"> VW’s distribution network, knowledge, and marketing expertise in multiple markets </w:t>
      </w:r>
      <w:r w:rsidR="0027782A">
        <w:t xml:space="preserve">should </w:t>
      </w:r>
      <w:r>
        <w:t xml:space="preserve">improve Porsche’s competitive performance in </w:t>
      </w:r>
      <w:r w:rsidR="000423D3">
        <w:t>f</w:t>
      </w:r>
      <w:r>
        <w:t>ore</w:t>
      </w:r>
      <w:r w:rsidR="000423D3">
        <w:t>ign</w:t>
      </w:r>
      <w:r w:rsidR="004315F2">
        <w:t xml:space="preserve"> markets. </w:t>
      </w:r>
      <w:r>
        <w:t>It may a</w:t>
      </w:r>
      <w:r w:rsidR="000423D3">
        <w:t>lso enhance the company’s after-</w:t>
      </w:r>
      <w:r w:rsidR="004315F2">
        <w:t xml:space="preserve">sales services. </w:t>
      </w:r>
      <w:r>
        <w:t>By looking at the company’s sales by geographical market (</w:t>
      </w:r>
      <w:r w:rsidR="000423D3">
        <w:t>refer to</w:t>
      </w:r>
      <w:r w:rsidR="004315F2">
        <w:t xml:space="preserve"> Exhibits 1A and 1</w:t>
      </w:r>
      <w:r>
        <w:t xml:space="preserve">B </w:t>
      </w:r>
      <w:r w:rsidR="000423D3">
        <w:t>in</w:t>
      </w:r>
      <w:r>
        <w:t xml:space="preserve"> the case), it is evident that there is </w:t>
      </w:r>
      <w:r w:rsidR="000423D3">
        <w:t>indeed</w:t>
      </w:r>
      <w:r w:rsidR="004315F2">
        <w:t xml:space="preserve"> room for improvement. </w:t>
      </w:r>
      <w:r>
        <w:t>This may be</w:t>
      </w:r>
      <w:r w:rsidR="000423D3">
        <w:t>come</w:t>
      </w:r>
      <w:r>
        <w:t xml:space="preserve"> particularly important if Porsc</w:t>
      </w:r>
      <w:r w:rsidR="004315F2">
        <w:t>he is unable to sell in the US</w:t>
      </w:r>
      <w:r>
        <w:t xml:space="preserve"> market in the future.</w:t>
      </w:r>
    </w:p>
    <w:p w:rsidR="000774CE" w:rsidRDefault="000774CE" w:rsidP="001D2670"/>
    <w:p w:rsidR="000774CE" w:rsidRDefault="000774CE" w:rsidP="001D2670">
      <w:r>
        <w:tab/>
      </w:r>
      <w:proofErr w:type="gramStart"/>
      <w:r w:rsidR="00480862" w:rsidRPr="00480862">
        <w:rPr>
          <w:u w:val="single"/>
        </w:rPr>
        <w:t>New Objectives</w:t>
      </w:r>
      <w:r w:rsidR="00125E62">
        <w:t>.</w:t>
      </w:r>
      <w:proofErr w:type="gramEnd"/>
      <w:r w:rsidR="00125E62">
        <w:t xml:space="preserve"> </w:t>
      </w:r>
      <w:r w:rsidR="00C91939">
        <w:t xml:space="preserve">As part of VW’s corporate restructuring initiatives for Porsche, a change in leadership has placed </w:t>
      </w:r>
      <w:r w:rsidR="00125E62">
        <w:t xml:space="preserve">an </w:t>
      </w:r>
      <w:r w:rsidR="00C91939">
        <w:t>outsider, Mueller,</w:t>
      </w:r>
      <w:r w:rsidR="00125E62">
        <w:t xml:space="preserve"> into the top position of CEO. </w:t>
      </w:r>
      <w:r w:rsidR="00C91939">
        <w:t xml:space="preserve">His new objectives </w:t>
      </w:r>
      <w:r>
        <w:t xml:space="preserve">are dictated at the corporate level </w:t>
      </w:r>
      <w:r w:rsidR="00C91939">
        <w:t xml:space="preserve">and </w:t>
      </w:r>
      <w:r>
        <w:t>are the driving force behind all of the change</w:t>
      </w:r>
      <w:r w:rsidR="00C91939">
        <w:t xml:space="preserve"> that will </w:t>
      </w:r>
      <w:r w:rsidR="00125E62">
        <w:t xml:space="preserve">soon rain down on the company. </w:t>
      </w:r>
      <w:r w:rsidR="00C91939">
        <w:t xml:space="preserve">In addition to quickly integrating Porsche into VW, he is charged with extending the company’s product line and nearly doubling production </w:t>
      </w:r>
      <w:r w:rsidR="00E81556">
        <w:t>within</w:t>
      </w:r>
      <w:r w:rsidR="00C91939">
        <w:t xml:space="preserve"> 5 years. </w:t>
      </w:r>
    </w:p>
    <w:p w:rsidR="00C91939" w:rsidRDefault="00C91939" w:rsidP="001D2670"/>
    <w:p w:rsidR="00C91939" w:rsidRDefault="00C91939" w:rsidP="001D2670">
      <w:r>
        <w:tab/>
        <w:t>The recent addition of SUV and sedan models to the Porsche line was already contr</w:t>
      </w:r>
      <w:r w:rsidR="00125E62">
        <w:t xml:space="preserve">oversial to brand enthusiasts. </w:t>
      </w:r>
      <w:r>
        <w:t xml:space="preserve">These product introductions were successful in the marketplace and generated profits </w:t>
      </w:r>
      <w:r w:rsidR="00E81556">
        <w:t>to</w:t>
      </w:r>
      <w:r>
        <w:t xml:space="preserve"> fuel the company’s growth</w:t>
      </w:r>
      <w:r w:rsidR="00480862">
        <w:t xml:space="preserve"> when sales of traditional high</w:t>
      </w:r>
      <w:r w:rsidR="00125E62">
        <w:t xml:space="preserve"> performance models were flat. </w:t>
      </w:r>
      <w:r w:rsidR="00480862">
        <w:t xml:space="preserve">Despite the positive aspects of lending the Porsche name to new models, </w:t>
      </w:r>
      <w:r w:rsidR="00E81556">
        <w:t>the strategy is unpopular among Pors</w:t>
      </w:r>
      <w:r w:rsidR="00125E62">
        <w:t xml:space="preserve">che product loyalists. </w:t>
      </w:r>
      <w:r w:rsidR="00E81556">
        <w:t>T</w:t>
      </w:r>
      <w:r w:rsidR="00480862">
        <w:t>he threat of spreading the brand too thin and da</w:t>
      </w:r>
      <w:r w:rsidR="00125E62">
        <w:t xml:space="preserve">maging its appeal still looms. </w:t>
      </w:r>
      <w:r w:rsidR="00480862">
        <w:t>Also, expanding beyond the 5-model/40-trim line portfolio increases the level of management complexity and market risk</w:t>
      </w:r>
      <w:r w:rsidR="00E81556">
        <w:t xml:space="preserve"> for the company</w:t>
      </w:r>
      <w:r w:rsidR="00480862">
        <w:t>.</w:t>
      </w:r>
    </w:p>
    <w:p w:rsidR="00480862" w:rsidRDefault="00480862" w:rsidP="001D2670"/>
    <w:p w:rsidR="0019439F" w:rsidRDefault="00480862" w:rsidP="001D2670">
      <w:r>
        <w:tab/>
      </w:r>
      <w:proofErr w:type="gramStart"/>
      <w:r w:rsidRPr="00480862">
        <w:rPr>
          <w:u w:val="single"/>
        </w:rPr>
        <w:t>International Strategy</w:t>
      </w:r>
      <w:r w:rsidR="00125E62">
        <w:t>.</w:t>
      </w:r>
      <w:proofErr w:type="gramEnd"/>
      <w:r w:rsidR="00125E62">
        <w:t xml:space="preserve"> </w:t>
      </w:r>
      <w:r>
        <w:t>Retaining full control over operations will become difficult as VW pressures Porsche to ado</w:t>
      </w:r>
      <w:r w:rsidR="00125E62">
        <w:t xml:space="preserve">pt its transnational strategy. </w:t>
      </w:r>
      <w:r w:rsidR="0019439F">
        <w:t xml:space="preserve">VW promotes the use of flexible engineering design and architectural processes, the sharing of compatible components, and vehicle customization to satisfy </w:t>
      </w:r>
      <w:r w:rsidR="00A3404F">
        <w:t>regional consumer preferences. Though</w:t>
      </w:r>
      <w:r w:rsidR="0019439F">
        <w:t xml:space="preserve"> the company will benefit from opportunities to incorporate product features </w:t>
      </w:r>
      <w:r w:rsidR="00A3404F">
        <w:t>that</w:t>
      </w:r>
      <w:r w:rsidR="0019439F">
        <w:t xml:space="preserve"> appeal to local tastes, it fears that engineering and craftsmanship (which are manageable at one manufacturing site) will be compromis</w:t>
      </w:r>
      <w:r w:rsidR="00A3404F">
        <w:t xml:space="preserve">ed. </w:t>
      </w:r>
      <w:r w:rsidR="0019439F">
        <w:t>However, VW also strives for best-in-class manufacturing and technology</w:t>
      </w:r>
      <w:r w:rsidR="00E81556">
        <w:t>,</w:t>
      </w:r>
      <w:r w:rsidR="0019439F">
        <w:t xml:space="preserve"> as well as superior product quality, which parallels </w:t>
      </w:r>
      <w:r w:rsidR="0019439F">
        <w:lastRenderedPageBreak/>
        <w:t>Porsche’s</w:t>
      </w:r>
      <w:r w:rsidR="00084A7A">
        <w:t xml:space="preserve"> culture of excellence</w:t>
      </w:r>
      <w:r w:rsidR="00A3404F">
        <w:t xml:space="preserve">. </w:t>
      </w:r>
      <w:r w:rsidR="007C5542">
        <w:t xml:space="preserve">VW’s use of </w:t>
      </w:r>
      <w:proofErr w:type="spellStart"/>
      <w:proofErr w:type="gramStart"/>
      <w:r w:rsidR="007C5542">
        <w:t>greenfield</w:t>
      </w:r>
      <w:proofErr w:type="spellEnd"/>
      <w:proofErr w:type="gramEnd"/>
      <w:r w:rsidR="007C5542">
        <w:t xml:space="preserve"> ventures </w:t>
      </w:r>
      <w:r w:rsidR="00084A7A">
        <w:t xml:space="preserve">to expand internationally </w:t>
      </w:r>
      <w:r w:rsidR="007C5542">
        <w:t xml:space="preserve">indicates that the corporation also </w:t>
      </w:r>
      <w:r w:rsidR="00084A7A">
        <w:t>values operational control and the protec</w:t>
      </w:r>
      <w:r w:rsidR="00A3404F">
        <w:t xml:space="preserve">tion of proprietary knowledge. </w:t>
      </w:r>
      <w:r w:rsidR="00E90470">
        <w:t xml:space="preserve">Consequently, the company should expect cooperation from corporate leaders in efforts to maintain these </w:t>
      </w:r>
      <w:r w:rsidR="00E81556">
        <w:t>sources of competitive advantage</w:t>
      </w:r>
      <w:r w:rsidR="00E90470">
        <w:t>.</w:t>
      </w:r>
    </w:p>
    <w:p w:rsidR="0019439F" w:rsidRDefault="0019439F" w:rsidP="001D2670"/>
    <w:p w:rsidR="0019439F" w:rsidRDefault="0019439F" w:rsidP="001D2670">
      <w:r>
        <w:tab/>
        <w:t xml:space="preserve">Operating in multiple countries introduces greater complexity and uncertainty for management and requires </w:t>
      </w:r>
      <w:r w:rsidR="00A3404F">
        <w:t xml:space="preserve">higher levels of coordination. </w:t>
      </w:r>
      <w:r>
        <w:t>Porsche can anticipate new structural and integrating mechanisms imposed by VW to enhance interdivisional cooperation.</w:t>
      </w:r>
      <w:r w:rsidR="00A3404F">
        <w:t xml:space="preserve"> </w:t>
      </w:r>
      <w:r w:rsidR="00E90470">
        <w:t xml:space="preserve">An organizational structure designed to maximize global efficiency and local responsiveness in support of VW’s transnational strategy will help Porsche overcome the lack of responsiveness to international markets inherent in its global strategy.  </w:t>
      </w:r>
      <w:r>
        <w:t xml:space="preserve">  </w:t>
      </w:r>
    </w:p>
    <w:p w:rsidR="00F0704B" w:rsidRDefault="00F0704B" w:rsidP="00DD1544"/>
    <w:p w:rsidR="007C5542" w:rsidRDefault="00F0704B" w:rsidP="001D2670">
      <w:r>
        <w:tab/>
      </w:r>
      <w:proofErr w:type="gramStart"/>
      <w:r w:rsidRPr="00F0704B">
        <w:rPr>
          <w:u w:val="single"/>
        </w:rPr>
        <w:t>Differentiation Strategy</w:t>
      </w:r>
      <w:r>
        <w:t>.</w:t>
      </w:r>
      <w:proofErr w:type="gramEnd"/>
      <w:r w:rsidR="00A3404F">
        <w:t xml:space="preserve"> Although</w:t>
      </w:r>
      <w:r w:rsidR="00E60030">
        <w:t xml:space="preserve"> both enterprises are committed to creating value for shareholders, they’ve long used dra</w:t>
      </w:r>
      <w:r w:rsidR="000423D3">
        <w:t>s</w:t>
      </w:r>
      <w:r w:rsidR="00E60030">
        <w:t>tically different</w:t>
      </w:r>
      <w:r w:rsidR="00A3404F">
        <w:t xml:space="preserve"> means of achieving this goal. </w:t>
      </w:r>
      <w:r>
        <w:t>Shifting from a focused brand strategy to sell to a broader base of consumer segments is not</w:t>
      </w:r>
      <w:r w:rsidR="00A3404F">
        <w:t xml:space="preserve"> without some risk for Porsche.</w:t>
      </w:r>
      <w:r>
        <w:t xml:space="preserve"> The company does not want to alienate its loyal customer base or destroy the competitive advantage assoc</w:t>
      </w:r>
      <w:r w:rsidR="00A3404F">
        <w:t xml:space="preserve">iated with its brand prestige. </w:t>
      </w:r>
      <w:r w:rsidR="001F311B">
        <w:t xml:space="preserve">The brand dilution that could result from expanding the product line further presents a real dilemma for the company.  </w:t>
      </w:r>
    </w:p>
    <w:p w:rsidR="001F311B" w:rsidRDefault="001F311B" w:rsidP="001D2670"/>
    <w:p w:rsidR="001F311B" w:rsidRDefault="001F311B" w:rsidP="001D2670">
      <w:r>
        <w:tab/>
        <w:t xml:space="preserve">The narrow luxury market for high-end sports cars has a </w:t>
      </w:r>
      <w:r w:rsidR="000423D3">
        <w:t>distinct</w:t>
      </w:r>
      <w:r w:rsidR="00A3404F">
        <w:t xml:space="preserve"> profile.</w:t>
      </w:r>
      <w:r>
        <w:t xml:space="preserve"> Porsche enthusiasts are educated, professional, particular in their tastes, trend conscious, and value innovative features, style, and </w:t>
      </w:r>
      <w:r w:rsidR="000423D3">
        <w:t xml:space="preserve">links to </w:t>
      </w:r>
      <w:r>
        <w:t>European</w:t>
      </w:r>
      <w:r w:rsidR="000423D3">
        <w:t xml:space="preserve"> culture</w:t>
      </w:r>
      <w:r w:rsidR="00A3404F">
        <w:t xml:space="preserve">. </w:t>
      </w:r>
      <w:r>
        <w:t>Steps will be necessary to protect Porsche’s historic image while diversifying and responding to</w:t>
      </w:r>
      <w:r w:rsidR="00A3404F">
        <w:t xml:space="preserve"> changing consumer preferences.</w:t>
      </w:r>
      <w:r>
        <w:t xml:space="preserve"> In a way, the strategy being forced on Porsche does protect the company</w:t>
      </w:r>
      <w:r w:rsidR="000423D3">
        <w:t>. Narrow segments have a</w:t>
      </w:r>
      <w:r>
        <w:t xml:space="preserve"> tendency to merge </w:t>
      </w:r>
      <w:r w:rsidR="000423D3">
        <w:t xml:space="preserve">their preferences and tastes </w:t>
      </w:r>
      <w:r>
        <w:t>with broader segment movements</w:t>
      </w:r>
      <w:r w:rsidR="000423D3">
        <w:t>, which can render a focused strategy ineffective</w:t>
      </w:r>
      <w:r>
        <w:t xml:space="preserve">. </w:t>
      </w:r>
    </w:p>
    <w:p w:rsidR="007C5542" w:rsidRDefault="007C5542"/>
    <w:p w:rsidR="007B7733" w:rsidRDefault="007B7733"/>
    <w:p w:rsidR="007B7733" w:rsidRDefault="007B7733"/>
    <w:p w:rsidR="00E60030" w:rsidRDefault="00E60030">
      <w:r>
        <w:tab/>
      </w:r>
      <w:proofErr w:type="gramStart"/>
      <w:r w:rsidR="000423D3" w:rsidRPr="0027782A">
        <w:rPr>
          <w:u w:val="single"/>
        </w:rPr>
        <w:t>Conclusion</w:t>
      </w:r>
      <w:r w:rsidR="00A3404F">
        <w:t>.</w:t>
      </w:r>
      <w:proofErr w:type="gramEnd"/>
      <w:r w:rsidR="000423D3">
        <w:t xml:space="preserve"> </w:t>
      </w:r>
      <w:r w:rsidRPr="000423D3">
        <w:t>To</w:t>
      </w:r>
      <w:r>
        <w:t xml:space="preserve"> take advantage of synergistic advantages, Porsche will have to accept its loss of independence and increased pressu</w:t>
      </w:r>
      <w:r w:rsidR="00A3404F">
        <w:t xml:space="preserve">re to maximize profit margins. </w:t>
      </w:r>
      <w:r>
        <w:t xml:space="preserve">To pacify its demanding loyalists, the company should try to keep </w:t>
      </w:r>
      <w:r w:rsidR="000423D3">
        <w:t>internal</w:t>
      </w:r>
      <w:r>
        <w:t xml:space="preserve"> organizational changes as invisible to the market as possible.  </w:t>
      </w:r>
    </w:p>
    <w:p w:rsidR="00E60030" w:rsidRDefault="00E60030"/>
    <w:p w:rsidR="00E60030" w:rsidRDefault="00E60030">
      <w:r>
        <w:tab/>
        <w:t xml:space="preserve">By far, the biggest risk for Porsche is </w:t>
      </w:r>
      <w:r w:rsidR="00A3404F">
        <w:t>the prospective loss of the US market.</w:t>
      </w:r>
      <w:r>
        <w:t xml:space="preserve"> It is hard to imagine, but should CAFE standards take root,</w:t>
      </w:r>
      <w:r w:rsidR="000423D3">
        <w:t xml:space="preserve"> over </w:t>
      </w:r>
      <w:r>
        <w:t>¼ of the company’s sales will ev</w:t>
      </w:r>
      <w:r w:rsidR="00A3404F">
        <w:t xml:space="preserve">aporate in less than a decade. </w:t>
      </w:r>
      <w:r>
        <w:t xml:space="preserve">Therefore, </w:t>
      </w:r>
      <w:r w:rsidR="00776692">
        <w:t xml:space="preserve">it is essential </w:t>
      </w:r>
      <w:r w:rsidR="00A5278B">
        <w:t xml:space="preserve">for Porsche to </w:t>
      </w:r>
      <w:r>
        <w:t>achiev</w:t>
      </w:r>
      <w:r w:rsidR="00A5278B">
        <w:t>e</w:t>
      </w:r>
      <w:r>
        <w:t xml:space="preserve"> synergies </w:t>
      </w:r>
      <w:r w:rsidR="000423D3">
        <w:t xml:space="preserve">within </w:t>
      </w:r>
      <w:r>
        <w:t xml:space="preserve">the new corporate </w:t>
      </w:r>
      <w:r w:rsidR="000423D3">
        <w:t>setting</w:t>
      </w:r>
      <w:r>
        <w:t xml:space="preserve"> and </w:t>
      </w:r>
      <w:r w:rsidR="00A5278B">
        <w:t xml:space="preserve">to </w:t>
      </w:r>
      <w:r>
        <w:t>maximiz</w:t>
      </w:r>
      <w:r w:rsidR="00A5278B">
        <w:t>e</w:t>
      </w:r>
      <w:r>
        <w:t xml:space="preserve"> gains in global markets </w:t>
      </w:r>
      <w:r w:rsidR="00A5278B">
        <w:t>(</w:t>
      </w:r>
      <w:r>
        <w:t>by adopting new international business strategies and exploiting corporate relatedness opportunities</w:t>
      </w:r>
      <w:r w:rsidR="00A5278B">
        <w:t>)</w:t>
      </w:r>
      <w:r>
        <w:t xml:space="preserve">.    </w:t>
      </w:r>
    </w:p>
    <w:sectPr w:rsidR="00E60030" w:rsidSect="005337E5">
      <w:headerReference w:type="default" r:id="rId8"/>
      <w:footerReference w:type="default" r:id="rId9"/>
      <w:pgSz w:w="12240" w:h="15840" w:code="1"/>
      <w:pgMar w:top="144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99E" w:rsidRDefault="00AE599E">
      <w:r>
        <w:separator/>
      </w:r>
    </w:p>
  </w:endnote>
  <w:endnote w:type="continuationSeparator" w:id="0">
    <w:p w:rsidR="00AE599E" w:rsidRDefault="00AE59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E62" w:rsidRDefault="0047744E" w:rsidP="005337E5">
    <w:pPr>
      <w:pStyle w:val="Footer"/>
      <w:tabs>
        <w:tab w:val="clear" w:pos="4320"/>
        <w:tab w:val="clear" w:pos="8640"/>
        <w:tab w:val="left" w:pos="1680"/>
      </w:tabs>
      <w:jc w:val="center"/>
      <w:rPr>
        <w:rStyle w:val="PageNumber"/>
      </w:rPr>
    </w:pPr>
    <w:r>
      <w:rPr>
        <w:rStyle w:val="PageNumber"/>
      </w:rPr>
      <w:fldChar w:fldCharType="begin"/>
    </w:r>
    <w:r w:rsidR="00125E62">
      <w:rPr>
        <w:rStyle w:val="PageNumber"/>
      </w:rPr>
      <w:instrText xml:space="preserve"> PAGE </w:instrText>
    </w:r>
    <w:r>
      <w:rPr>
        <w:rStyle w:val="PageNumber"/>
      </w:rPr>
      <w:fldChar w:fldCharType="separate"/>
    </w:r>
    <w:r w:rsidR="006F4A0F">
      <w:rPr>
        <w:rStyle w:val="PageNumber"/>
        <w:noProof/>
      </w:rPr>
      <w:t>1</w:t>
    </w:r>
    <w:r>
      <w:rPr>
        <w:rStyle w:val="PageNumber"/>
      </w:rPr>
      <w:fldChar w:fldCharType="end"/>
    </w:r>
  </w:p>
  <w:p w:rsidR="00125E62" w:rsidRPr="00A12B56" w:rsidRDefault="00125E62" w:rsidP="00A12B56">
    <w:pPr>
      <w:pStyle w:val="Header"/>
      <w:jc w:val="center"/>
      <w:rPr>
        <w:b/>
        <w:bCs/>
        <w:sz w:val="28"/>
        <w:szCs w:val="28"/>
      </w:rPr>
    </w:pPr>
    <w:r>
      <w:t>Porsche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99E" w:rsidRDefault="00AE599E">
      <w:r>
        <w:separator/>
      </w:r>
    </w:p>
  </w:footnote>
  <w:footnote w:type="continuationSeparator" w:id="0">
    <w:p w:rsidR="00AE599E" w:rsidRDefault="00AE5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E62" w:rsidRDefault="00125E62" w:rsidP="00EA0465">
    <w:pPr>
      <w:pStyle w:val="Header"/>
      <w:jc w:val="center"/>
      <w:rPr>
        <w:b/>
        <w:bCs/>
        <w:sz w:val="28"/>
        <w:szCs w:val="28"/>
      </w:rPr>
    </w:pPr>
  </w:p>
  <w:p w:rsidR="00125E62" w:rsidRPr="00C420BE" w:rsidRDefault="00125E62" w:rsidP="00EA0465">
    <w:pPr>
      <w:pStyle w:val="Header"/>
      <w:jc w:val="center"/>
      <w:rPr>
        <w:b/>
        <w:bCs/>
        <w:sz w:val="28"/>
        <w:szCs w:val="28"/>
      </w:rPr>
    </w:pPr>
    <w:r>
      <w:rPr>
        <w:b/>
        <w:bCs/>
        <w:sz w:val="28"/>
        <w:szCs w:val="28"/>
      </w:rPr>
      <w:t>Porsche</w:t>
    </w:r>
  </w:p>
  <w:p w:rsidR="00125E62" w:rsidRPr="00EA0465" w:rsidRDefault="00125E62" w:rsidP="00EA0465">
    <w:pPr>
      <w:pStyle w:val="Header"/>
      <w:jc w:val="center"/>
      <w:rPr>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E84"/>
    <w:multiLevelType w:val="hybridMultilevel"/>
    <w:tmpl w:val="32E87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8E6B03"/>
    <w:multiLevelType w:val="hybridMultilevel"/>
    <w:tmpl w:val="201062F8"/>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E90631"/>
    <w:multiLevelType w:val="hybridMultilevel"/>
    <w:tmpl w:val="6C6CC3E2"/>
    <w:lvl w:ilvl="0" w:tplc="DFDCA64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870D40"/>
    <w:multiLevelType w:val="hybridMultilevel"/>
    <w:tmpl w:val="3912F040"/>
    <w:lvl w:ilvl="0" w:tplc="529698F8">
      <w:start w:val="1"/>
      <w:numFmt w:val="bullet"/>
      <w:lvlText w:val=""/>
      <w:lvlJc w:val="left"/>
      <w:pPr>
        <w:ind w:left="36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32FB6"/>
    <w:multiLevelType w:val="hybridMultilevel"/>
    <w:tmpl w:val="0AEA1286"/>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0450E"/>
    <w:multiLevelType w:val="hybridMultilevel"/>
    <w:tmpl w:val="BD586052"/>
    <w:lvl w:ilvl="0" w:tplc="8014FB14">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931E0"/>
    <w:multiLevelType w:val="hybridMultilevel"/>
    <w:tmpl w:val="110EA464"/>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0D0352"/>
    <w:multiLevelType w:val="hybridMultilevel"/>
    <w:tmpl w:val="012EAC92"/>
    <w:lvl w:ilvl="0" w:tplc="860C20E4">
      <w:start w:val="1"/>
      <w:numFmt w:val="bullet"/>
      <w:lvlText w:val=""/>
      <w:lvlJc w:val="left"/>
      <w:pPr>
        <w:tabs>
          <w:tab w:val="num" w:pos="576"/>
        </w:tabs>
        <w:ind w:left="576"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910BE6"/>
    <w:multiLevelType w:val="hybridMultilevel"/>
    <w:tmpl w:val="6B0061B2"/>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9826DA"/>
    <w:multiLevelType w:val="hybridMultilevel"/>
    <w:tmpl w:val="01FEE4EC"/>
    <w:lvl w:ilvl="0" w:tplc="DFDCA64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881ABC"/>
    <w:multiLevelType w:val="hybridMultilevel"/>
    <w:tmpl w:val="8D9650EE"/>
    <w:lvl w:ilvl="0" w:tplc="860C20E4">
      <w:start w:val="1"/>
      <w:numFmt w:val="bullet"/>
      <w:lvlText w:val=""/>
      <w:lvlJc w:val="left"/>
      <w:pPr>
        <w:tabs>
          <w:tab w:val="num" w:pos="576"/>
        </w:tabs>
        <w:ind w:left="576"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D05D59"/>
    <w:multiLevelType w:val="hybridMultilevel"/>
    <w:tmpl w:val="F7808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F682D"/>
    <w:multiLevelType w:val="hybridMultilevel"/>
    <w:tmpl w:val="8CB81A1A"/>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76250"/>
    <w:multiLevelType w:val="hybridMultilevel"/>
    <w:tmpl w:val="B68A6524"/>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3C4B53"/>
    <w:multiLevelType w:val="hybridMultilevel"/>
    <w:tmpl w:val="D58E6364"/>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F4235"/>
    <w:multiLevelType w:val="hybridMultilevel"/>
    <w:tmpl w:val="7264D19A"/>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B90407"/>
    <w:multiLevelType w:val="hybridMultilevel"/>
    <w:tmpl w:val="3D6A84E2"/>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1333D"/>
    <w:multiLevelType w:val="hybridMultilevel"/>
    <w:tmpl w:val="BCD4BBD0"/>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75217E"/>
    <w:multiLevelType w:val="hybridMultilevel"/>
    <w:tmpl w:val="12D0F556"/>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FA709D"/>
    <w:multiLevelType w:val="hybridMultilevel"/>
    <w:tmpl w:val="20244B88"/>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014950"/>
    <w:multiLevelType w:val="hybridMultilevel"/>
    <w:tmpl w:val="6DB29F1E"/>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83646"/>
    <w:multiLevelType w:val="hybridMultilevel"/>
    <w:tmpl w:val="991A25AC"/>
    <w:lvl w:ilvl="0" w:tplc="860C20E4">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2">
    <w:nsid w:val="42EF0EB8"/>
    <w:multiLevelType w:val="hybridMultilevel"/>
    <w:tmpl w:val="C99C0544"/>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3BC42E1"/>
    <w:multiLevelType w:val="hybridMultilevel"/>
    <w:tmpl w:val="C7E29D90"/>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B2B28"/>
    <w:multiLevelType w:val="hybridMultilevel"/>
    <w:tmpl w:val="4B36C3B4"/>
    <w:lvl w:ilvl="0" w:tplc="860C20E4">
      <w:start w:val="1"/>
      <w:numFmt w:val="bullet"/>
      <w:lvlText w:val=""/>
      <w:lvlJc w:val="left"/>
      <w:pPr>
        <w:tabs>
          <w:tab w:val="num" w:pos="1080"/>
        </w:tabs>
        <w:ind w:left="1080" w:hanging="360"/>
      </w:pPr>
      <w:rPr>
        <w:rFonts w:ascii="Symbol" w:hAnsi="Symbol" w:hint="default"/>
        <w:color w:val="auto"/>
        <w:sz w:val="16"/>
      </w:rPr>
    </w:lvl>
    <w:lvl w:ilvl="1" w:tplc="D91249B2">
      <w:start w:val="1"/>
      <w:numFmt w:val="bullet"/>
      <w:lvlText w:val="-"/>
      <w:lvlJc w:val="left"/>
      <w:pPr>
        <w:tabs>
          <w:tab w:val="num" w:pos="720"/>
        </w:tabs>
        <w:ind w:left="720" w:hanging="360"/>
      </w:pPr>
      <w:rPr>
        <w:rFonts w:ascii="Times New Roman" w:eastAsia="SimSun" w:hAnsi="Times New Roman" w:cs="Times New Roman" w:hint="default"/>
        <w:b/>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48CF6046"/>
    <w:multiLevelType w:val="hybridMultilevel"/>
    <w:tmpl w:val="45DA454C"/>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F57C2"/>
    <w:multiLevelType w:val="hybridMultilevel"/>
    <w:tmpl w:val="85C68792"/>
    <w:lvl w:ilvl="0" w:tplc="860C20E4">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7">
    <w:nsid w:val="4B746162"/>
    <w:multiLevelType w:val="hybridMultilevel"/>
    <w:tmpl w:val="ABBE0388"/>
    <w:lvl w:ilvl="0" w:tplc="860C20E4">
      <w:start w:val="1"/>
      <w:numFmt w:val="bullet"/>
      <w:lvlText w:val=""/>
      <w:lvlJc w:val="left"/>
      <w:pPr>
        <w:tabs>
          <w:tab w:val="num" w:pos="1296"/>
        </w:tabs>
        <w:ind w:left="1296" w:hanging="360"/>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D975541"/>
    <w:multiLevelType w:val="hybridMultilevel"/>
    <w:tmpl w:val="CE3C88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792DA6"/>
    <w:multiLevelType w:val="hybridMultilevel"/>
    <w:tmpl w:val="6944AF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E21D9"/>
    <w:multiLevelType w:val="hybridMultilevel"/>
    <w:tmpl w:val="63C4B2FE"/>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D40949"/>
    <w:multiLevelType w:val="hybridMultilevel"/>
    <w:tmpl w:val="54268DAE"/>
    <w:lvl w:ilvl="0" w:tplc="B442C216">
      <w:start w:val="1"/>
      <w:numFmt w:val="bullet"/>
      <w:lvlText w:val=""/>
      <w:lvlJc w:val="left"/>
      <w:pPr>
        <w:ind w:left="36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5440FE"/>
    <w:multiLevelType w:val="hybridMultilevel"/>
    <w:tmpl w:val="27984DBC"/>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564FBE"/>
    <w:multiLevelType w:val="hybridMultilevel"/>
    <w:tmpl w:val="E932A4C4"/>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237FF1"/>
    <w:multiLevelType w:val="hybridMultilevel"/>
    <w:tmpl w:val="AEC8A956"/>
    <w:lvl w:ilvl="0" w:tplc="4EDCBD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A9758E6"/>
    <w:multiLevelType w:val="hybridMultilevel"/>
    <w:tmpl w:val="627C9C20"/>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891B73"/>
    <w:multiLevelType w:val="hybridMultilevel"/>
    <w:tmpl w:val="5F62AC7C"/>
    <w:lvl w:ilvl="0" w:tplc="7D42BD2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6"/>
  </w:num>
  <w:num w:numId="4">
    <w:abstractNumId w:val="27"/>
  </w:num>
  <w:num w:numId="5">
    <w:abstractNumId w:val="7"/>
  </w:num>
  <w:num w:numId="6">
    <w:abstractNumId w:val="10"/>
  </w:num>
  <w:num w:numId="7">
    <w:abstractNumId w:val="34"/>
  </w:num>
  <w:num w:numId="8">
    <w:abstractNumId w:val="18"/>
  </w:num>
  <w:num w:numId="9">
    <w:abstractNumId w:val="1"/>
  </w:num>
  <w:num w:numId="10">
    <w:abstractNumId w:val="13"/>
  </w:num>
  <w:num w:numId="11">
    <w:abstractNumId w:val="22"/>
  </w:num>
  <w:num w:numId="12">
    <w:abstractNumId w:val="12"/>
  </w:num>
  <w:num w:numId="13">
    <w:abstractNumId w:val="30"/>
  </w:num>
  <w:num w:numId="14">
    <w:abstractNumId w:val="8"/>
  </w:num>
  <w:num w:numId="15">
    <w:abstractNumId w:val="19"/>
  </w:num>
  <w:num w:numId="16">
    <w:abstractNumId w:val="33"/>
  </w:num>
  <w:num w:numId="17">
    <w:abstractNumId w:val="4"/>
  </w:num>
  <w:num w:numId="18">
    <w:abstractNumId w:val="16"/>
  </w:num>
  <w:num w:numId="19">
    <w:abstractNumId w:val="32"/>
  </w:num>
  <w:num w:numId="20">
    <w:abstractNumId w:val="14"/>
  </w:num>
  <w:num w:numId="21">
    <w:abstractNumId w:val="36"/>
  </w:num>
  <w:num w:numId="22">
    <w:abstractNumId w:val="15"/>
  </w:num>
  <w:num w:numId="23">
    <w:abstractNumId w:val="6"/>
  </w:num>
  <w:num w:numId="24">
    <w:abstractNumId w:val="20"/>
  </w:num>
  <w:num w:numId="25">
    <w:abstractNumId w:val="25"/>
  </w:num>
  <w:num w:numId="26">
    <w:abstractNumId w:val="23"/>
  </w:num>
  <w:num w:numId="27">
    <w:abstractNumId w:val="17"/>
  </w:num>
  <w:num w:numId="28">
    <w:abstractNumId w:val="35"/>
  </w:num>
  <w:num w:numId="29">
    <w:abstractNumId w:val="9"/>
  </w:num>
  <w:num w:numId="30">
    <w:abstractNumId w:val="2"/>
  </w:num>
  <w:num w:numId="31">
    <w:abstractNumId w:val="29"/>
  </w:num>
  <w:num w:numId="32">
    <w:abstractNumId w:val="11"/>
  </w:num>
  <w:num w:numId="33">
    <w:abstractNumId w:val="0"/>
  </w:num>
  <w:num w:numId="34">
    <w:abstractNumId w:val="28"/>
  </w:num>
  <w:num w:numId="35">
    <w:abstractNumId w:val="31"/>
  </w:num>
  <w:num w:numId="36">
    <w:abstractNumId w:val="5"/>
  </w:num>
  <w:num w:numId="37">
    <w:abstractNumId w:val="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noPunctuationKerning/>
  <w:characterSpacingControl w:val="doNotCompress"/>
  <w:footnotePr>
    <w:footnote w:id="-1"/>
    <w:footnote w:id="0"/>
  </w:footnotePr>
  <w:endnotePr>
    <w:endnote w:id="-1"/>
    <w:endnote w:id="0"/>
  </w:endnotePr>
  <w:compat>
    <w:applyBreakingRules/>
    <w:useFELayout/>
  </w:compat>
  <w:rsids>
    <w:rsidRoot w:val="00417563"/>
    <w:rsid w:val="0001535A"/>
    <w:rsid w:val="00015C27"/>
    <w:rsid w:val="00034048"/>
    <w:rsid w:val="00035E3A"/>
    <w:rsid w:val="00041AC6"/>
    <w:rsid w:val="000423D3"/>
    <w:rsid w:val="00043210"/>
    <w:rsid w:val="000465B1"/>
    <w:rsid w:val="00054456"/>
    <w:rsid w:val="0005736B"/>
    <w:rsid w:val="000629CB"/>
    <w:rsid w:val="00067126"/>
    <w:rsid w:val="00071FBA"/>
    <w:rsid w:val="000731C0"/>
    <w:rsid w:val="00075762"/>
    <w:rsid w:val="00076F21"/>
    <w:rsid w:val="000774CE"/>
    <w:rsid w:val="00084A7A"/>
    <w:rsid w:val="00085B51"/>
    <w:rsid w:val="000917E5"/>
    <w:rsid w:val="000A1B38"/>
    <w:rsid w:val="000B2231"/>
    <w:rsid w:val="000B681C"/>
    <w:rsid w:val="000C5DFF"/>
    <w:rsid w:val="000D2303"/>
    <w:rsid w:val="000D4582"/>
    <w:rsid w:val="000E14F2"/>
    <w:rsid w:val="000E206E"/>
    <w:rsid w:val="000F44BB"/>
    <w:rsid w:val="00103F00"/>
    <w:rsid w:val="00117200"/>
    <w:rsid w:val="001211C5"/>
    <w:rsid w:val="001227B5"/>
    <w:rsid w:val="00125E62"/>
    <w:rsid w:val="00127373"/>
    <w:rsid w:val="00127FD2"/>
    <w:rsid w:val="00147354"/>
    <w:rsid w:val="00155132"/>
    <w:rsid w:val="00164857"/>
    <w:rsid w:val="001736A3"/>
    <w:rsid w:val="00176D5F"/>
    <w:rsid w:val="001850EB"/>
    <w:rsid w:val="001904F7"/>
    <w:rsid w:val="00190B50"/>
    <w:rsid w:val="00191F4A"/>
    <w:rsid w:val="0019439F"/>
    <w:rsid w:val="00197ADF"/>
    <w:rsid w:val="001A43F1"/>
    <w:rsid w:val="001A6435"/>
    <w:rsid w:val="001B20F8"/>
    <w:rsid w:val="001C4CE8"/>
    <w:rsid w:val="001D2670"/>
    <w:rsid w:val="001E53E8"/>
    <w:rsid w:val="001E5DD3"/>
    <w:rsid w:val="001E5F3E"/>
    <w:rsid w:val="001F311B"/>
    <w:rsid w:val="0020224A"/>
    <w:rsid w:val="00202C8C"/>
    <w:rsid w:val="00211567"/>
    <w:rsid w:val="0021178B"/>
    <w:rsid w:val="00231167"/>
    <w:rsid w:val="00232302"/>
    <w:rsid w:val="00234EC2"/>
    <w:rsid w:val="00236DC5"/>
    <w:rsid w:val="00244A62"/>
    <w:rsid w:val="00247C9A"/>
    <w:rsid w:val="0025069C"/>
    <w:rsid w:val="00263CF1"/>
    <w:rsid w:val="002708C0"/>
    <w:rsid w:val="002717DA"/>
    <w:rsid w:val="00271A51"/>
    <w:rsid w:val="00272816"/>
    <w:rsid w:val="0027318B"/>
    <w:rsid w:val="002735EA"/>
    <w:rsid w:val="00277300"/>
    <w:rsid w:val="0027782A"/>
    <w:rsid w:val="00280C81"/>
    <w:rsid w:val="0028426C"/>
    <w:rsid w:val="00284353"/>
    <w:rsid w:val="00292300"/>
    <w:rsid w:val="002949E1"/>
    <w:rsid w:val="00294CCA"/>
    <w:rsid w:val="00295180"/>
    <w:rsid w:val="002A3009"/>
    <w:rsid w:val="002B1AF2"/>
    <w:rsid w:val="002C09E9"/>
    <w:rsid w:val="002C2969"/>
    <w:rsid w:val="002D2776"/>
    <w:rsid w:val="002D5BFD"/>
    <w:rsid w:val="002D6434"/>
    <w:rsid w:val="002D6C3C"/>
    <w:rsid w:val="002D6F5B"/>
    <w:rsid w:val="002D7231"/>
    <w:rsid w:val="002F5BB5"/>
    <w:rsid w:val="002F65EB"/>
    <w:rsid w:val="002F7684"/>
    <w:rsid w:val="002F7D06"/>
    <w:rsid w:val="003115B4"/>
    <w:rsid w:val="00315AEF"/>
    <w:rsid w:val="00322AC7"/>
    <w:rsid w:val="00330B3C"/>
    <w:rsid w:val="00332AF6"/>
    <w:rsid w:val="00334CFA"/>
    <w:rsid w:val="003415FB"/>
    <w:rsid w:val="00342981"/>
    <w:rsid w:val="0035225A"/>
    <w:rsid w:val="00352B78"/>
    <w:rsid w:val="003649F9"/>
    <w:rsid w:val="00366331"/>
    <w:rsid w:val="00371954"/>
    <w:rsid w:val="00376ACF"/>
    <w:rsid w:val="00384767"/>
    <w:rsid w:val="00385793"/>
    <w:rsid w:val="00390AE3"/>
    <w:rsid w:val="0039311B"/>
    <w:rsid w:val="003963CE"/>
    <w:rsid w:val="003A4654"/>
    <w:rsid w:val="003A596A"/>
    <w:rsid w:val="003B3315"/>
    <w:rsid w:val="003B73B5"/>
    <w:rsid w:val="003B79BE"/>
    <w:rsid w:val="003C52D0"/>
    <w:rsid w:val="003C59D3"/>
    <w:rsid w:val="003D0FF7"/>
    <w:rsid w:val="003D17D5"/>
    <w:rsid w:val="003D2326"/>
    <w:rsid w:val="003D5AE3"/>
    <w:rsid w:val="003D6FF1"/>
    <w:rsid w:val="003D7AB0"/>
    <w:rsid w:val="003E17FA"/>
    <w:rsid w:val="003E4977"/>
    <w:rsid w:val="003F159F"/>
    <w:rsid w:val="00403873"/>
    <w:rsid w:val="004038D2"/>
    <w:rsid w:val="004044C1"/>
    <w:rsid w:val="0040550A"/>
    <w:rsid w:val="004072AB"/>
    <w:rsid w:val="00411B4B"/>
    <w:rsid w:val="00417563"/>
    <w:rsid w:val="0042421A"/>
    <w:rsid w:val="004311A9"/>
    <w:rsid w:val="004312CF"/>
    <w:rsid w:val="004315F2"/>
    <w:rsid w:val="0043165E"/>
    <w:rsid w:val="00435A19"/>
    <w:rsid w:val="00435A77"/>
    <w:rsid w:val="00437481"/>
    <w:rsid w:val="004449FC"/>
    <w:rsid w:val="0045191D"/>
    <w:rsid w:val="00451FBE"/>
    <w:rsid w:val="00453297"/>
    <w:rsid w:val="00456A62"/>
    <w:rsid w:val="00460831"/>
    <w:rsid w:val="00470399"/>
    <w:rsid w:val="00471E4E"/>
    <w:rsid w:val="0047744E"/>
    <w:rsid w:val="00480862"/>
    <w:rsid w:val="00480FD6"/>
    <w:rsid w:val="0048569C"/>
    <w:rsid w:val="00491647"/>
    <w:rsid w:val="00493047"/>
    <w:rsid w:val="004951F4"/>
    <w:rsid w:val="004A2DE9"/>
    <w:rsid w:val="004A6E6F"/>
    <w:rsid w:val="004B0994"/>
    <w:rsid w:val="004B1E84"/>
    <w:rsid w:val="004B4927"/>
    <w:rsid w:val="004B51EC"/>
    <w:rsid w:val="004C7985"/>
    <w:rsid w:val="004D0220"/>
    <w:rsid w:val="004E4047"/>
    <w:rsid w:val="004E4B1C"/>
    <w:rsid w:val="004E5803"/>
    <w:rsid w:val="004E58A4"/>
    <w:rsid w:val="004F0772"/>
    <w:rsid w:val="004F4F80"/>
    <w:rsid w:val="005051DE"/>
    <w:rsid w:val="00506FF9"/>
    <w:rsid w:val="0051202C"/>
    <w:rsid w:val="00520BE0"/>
    <w:rsid w:val="00532901"/>
    <w:rsid w:val="005337E5"/>
    <w:rsid w:val="005350E1"/>
    <w:rsid w:val="005405A3"/>
    <w:rsid w:val="00546C48"/>
    <w:rsid w:val="0054718C"/>
    <w:rsid w:val="0055273F"/>
    <w:rsid w:val="00560408"/>
    <w:rsid w:val="00566C24"/>
    <w:rsid w:val="00567FC0"/>
    <w:rsid w:val="00571063"/>
    <w:rsid w:val="0058715F"/>
    <w:rsid w:val="00593781"/>
    <w:rsid w:val="005A221B"/>
    <w:rsid w:val="005A5A80"/>
    <w:rsid w:val="005B5019"/>
    <w:rsid w:val="005B74AD"/>
    <w:rsid w:val="005D05C2"/>
    <w:rsid w:val="005D5F9D"/>
    <w:rsid w:val="00600B3B"/>
    <w:rsid w:val="006037C8"/>
    <w:rsid w:val="00604819"/>
    <w:rsid w:val="00610B01"/>
    <w:rsid w:val="006241ED"/>
    <w:rsid w:val="00630F56"/>
    <w:rsid w:val="00640331"/>
    <w:rsid w:val="00640B92"/>
    <w:rsid w:val="006430DF"/>
    <w:rsid w:val="00645FBF"/>
    <w:rsid w:val="00652AF3"/>
    <w:rsid w:val="00663ACF"/>
    <w:rsid w:val="00673E24"/>
    <w:rsid w:val="006743E1"/>
    <w:rsid w:val="00693E4A"/>
    <w:rsid w:val="006A5BCA"/>
    <w:rsid w:val="006A7E5F"/>
    <w:rsid w:val="006B6282"/>
    <w:rsid w:val="006B65C3"/>
    <w:rsid w:val="006C030B"/>
    <w:rsid w:val="006C06DF"/>
    <w:rsid w:val="006C15D3"/>
    <w:rsid w:val="006C339B"/>
    <w:rsid w:val="006C7318"/>
    <w:rsid w:val="006D5C01"/>
    <w:rsid w:val="006E0154"/>
    <w:rsid w:val="006E54FA"/>
    <w:rsid w:val="006F0CE3"/>
    <w:rsid w:val="006F4A0F"/>
    <w:rsid w:val="006F760A"/>
    <w:rsid w:val="006F7D04"/>
    <w:rsid w:val="00702DD8"/>
    <w:rsid w:val="00702E1F"/>
    <w:rsid w:val="00706710"/>
    <w:rsid w:val="007101FD"/>
    <w:rsid w:val="007104D1"/>
    <w:rsid w:val="00715085"/>
    <w:rsid w:val="0071573C"/>
    <w:rsid w:val="0072460C"/>
    <w:rsid w:val="0072532B"/>
    <w:rsid w:val="00725B34"/>
    <w:rsid w:val="00735B62"/>
    <w:rsid w:val="00736790"/>
    <w:rsid w:val="007375D4"/>
    <w:rsid w:val="00744C72"/>
    <w:rsid w:val="00755ACC"/>
    <w:rsid w:val="007677AC"/>
    <w:rsid w:val="00770211"/>
    <w:rsid w:val="00775C0A"/>
    <w:rsid w:val="00776692"/>
    <w:rsid w:val="007774B4"/>
    <w:rsid w:val="00791889"/>
    <w:rsid w:val="00792BD6"/>
    <w:rsid w:val="007A5D7C"/>
    <w:rsid w:val="007A5F4F"/>
    <w:rsid w:val="007B0292"/>
    <w:rsid w:val="007B182B"/>
    <w:rsid w:val="007B3CDB"/>
    <w:rsid w:val="007B7733"/>
    <w:rsid w:val="007C07D6"/>
    <w:rsid w:val="007C2013"/>
    <w:rsid w:val="007C23F4"/>
    <w:rsid w:val="007C2F97"/>
    <w:rsid w:val="007C502E"/>
    <w:rsid w:val="007C5542"/>
    <w:rsid w:val="007E3939"/>
    <w:rsid w:val="00803B69"/>
    <w:rsid w:val="0080403F"/>
    <w:rsid w:val="00811428"/>
    <w:rsid w:val="008202AE"/>
    <w:rsid w:val="008202C3"/>
    <w:rsid w:val="00823B27"/>
    <w:rsid w:val="00830B22"/>
    <w:rsid w:val="00832CE5"/>
    <w:rsid w:val="00842A09"/>
    <w:rsid w:val="008463AE"/>
    <w:rsid w:val="008533A9"/>
    <w:rsid w:val="008562E3"/>
    <w:rsid w:val="008609F2"/>
    <w:rsid w:val="00862836"/>
    <w:rsid w:val="008677B0"/>
    <w:rsid w:val="0087062F"/>
    <w:rsid w:val="00877C37"/>
    <w:rsid w:val="0088175B"/>
    <w:rsid w:val="00894774"/>
    <w:rsid w:val="008A1220"/>
    <w:rsid w:val="008C0646"/>
    <w:rsid w:val="008D108D"/>
    <w:rsid w:val="008D2CC4"/>
    <w:rsid w:val="008D6891"/>
    <w:rsid w:val="008E696D"/>
    <w:rsid w:val="008F7AC2"/>
    <w:rsid w:val="00912117"/>
    <w:rsid w:val="00917524"/>
    <w:rsid w:val="0092587E"/>
    <w:rsid w:val="00932666"/>
    <w:rsid w:val="009350D1"/>
    <w:rsid w:val="009368C5"/>
    <w:rsid w:val="009437B5"/>
    <w:rsid w:val="009474DA"/>
    <w:rsid w:val="00952A62"/>
    <w:rsid w:val="00952D99"/>
    <w:rsid w:val="00960051"/>
    <w:rsid w:val="00964D78"/>
    <w:rsid w:val="00971A19"/>
    <w:rsid w:val="00976995"/>
    <w:rsid w:val="009A0C0C"/>
    <w:rsid w:val="009A5C5E"/>
    <w:rsid w:val="009B3752"/>
    <w:rsid w:val="009B3EDE"/>
    <w:rsid w:val="009C1BCE"/>
    <w:rsid w:val="009C2B02"/>
    <w:rsid w:val="009D1AA6"/>
    <w:rsid w:val="009E1BAE"/>
    <w:rsid w:val="009F18C6"/>
    <w:rsid w:val="00A12B56"/>
    <w:rsid w:val="00A17F76"/>
    <w:rsid w:val="00A230CD"/>
    <w:rsid w:val="00A32026"/>
    <w:rsid w:val="00A333E9"/>
    <w:rsid w:val="00A3404F"/>
    <w:rsid w:val="00A37331"/>
    <w:rsid w:val="00A43B14"/>
    <w:rsid w:val="00A5278B"/>
    <w:rsid w:val="00A659CF"/>
    <w:rsid w:val="00A6630B"/>
    <w:rsid w:val="00A70A8A"/>
    <w:rsid w:val="00A710F4"/>
    <w:rsid w:val="00A7347B"/>
    <w:rsid w:val="00A741DD"/>
    <w:rsid w:val="00A8075D"/>
    <w:rsid w:val="00A80E97"/>
    <w:rsid w:val="00A829FA"/>
    <w:rsid w:val="00A84236"/>
    <w:rsid w:val="00A92E6A"/>
    <w:rsid w:val="00A94C7B"/>
    <w:rsid w:val="00AA36AB"/>
    <w:rsid w:val="00AA6226"/>
    <w:rsid w:val="00AB0FD5"/>
    <w:rsid w:val="00AC0E11"/>
    <w:rsid w:val="00AC2E90"/>
    <w:rsid w:val="00AC7D50"/>
    <w:rsid w:val="00AD6142"/>
    <w:rsid w:val="00AE599E"/>
    <w:rsid w:val="00AE637E"/>
    <w:rsid w:val="00AE7220"/>
    <w:rsid w:val="00AE78DF"/>
    <w:rsid w:val="00AF3A82"/>
    <w:rsid w:val="00AF3C24"/>
    <w:rsid w:val="00AF543F"/>
    <w:rsid w:val="00B04520"/>
    <w:rsid w:val="00B11D93"/>
    <w:rsid w:val="00B13914"/>
    <w:rsid w:val="00B1748D"/>
    <w:rsid w:val="00B2434E"/>
    <w:rsid w:val="00B3776D"/>
    <w:rsid w:val="00B518EC"/>
    <w:rsid w:val="00B5268B"/>
    <w:rsid w:val="00B532C5"/>
    <w:rsid w:val="00B53F13"/>
    <w:rsid w:val="00B62191"/>
    <w:rsid w:val="00B64C67"/>
    <w:rsid w:val="00B650FB"/>
    <w:rsid w:val="00B67EEA"/>
    <w:rsid w:val="00B71D3F"/>
    <w:rsid w:val="00B73A9D"/>
    <w:rsid w:val="00B858B1"/>
    <w:rsid w:val="00B85AF0"/>
    <w:rsid w:val="00B947B6"/>
    <w:rsid w:val="00BA41EB"/>
    <w:rsid w:val="00BB2633"/>
    <w:rsid w:val="00BB5E69"/>
    <w:rsid w:val="00BB7ED4"/>
    <w:rsid w:val="00BC184B"/>
    <w:rsid w:val="00BC73DB"/>
    <w:rsid w:val="00BD1FD0"/>
    <w:rsid w:val="00BD3D79"/>
    <w:rsid w:val="00BE0E52"/>
    <w:rsid w:val="00BF1495"/>
    <w:rsid w:val="00C001DD"/>
    <w:rsid w:val="00C01236"/>
    <w:rsid w:val="00C165C9"/>
    <w:rsid w:val="00C16CFF"/>
    <w:rsid w:val="00C401B7"/>
    <w:rsid w:val="00C41D43"/>
    <w:rsid w:val="00C420BE"/>
    <w:rsid w:val="00C4241E"/>
    <w:rsid w:val="00C449B3"/>
    <w:rsid w:val="00C4762A"/>
    <w:rsid w:val="00C618A0"/>
    <w:rsid w:val="00C7492F"/>
    <w:rsid w:val="00C75C95"/>
    <w:rsid w:val="00C76C98"/>
    <w:rsid w:val="00C82CBD"/>
    <w:rsid w:val="00C87235"/>
    <w:rsid w:val="00C8795C"/>
    <w:rsid w:val="00C9095C"/>
    <w:rsid w:val="00C91939"/>
    <w:rsid w:val="00C956DA"/>
    <w:rsid w:val="00C96CD0"/>
    <w:rsid w:val="00C9782C"/>
    <w:rsid w:val="00C9788E"/>
    <w:rsid w:val="00CA1550"/>
    <w:rsid w:val="00CA5324"/>
    <w:rsid w:val="00CA5E94"/>
    <w:rsid w:val="00CB626B"/>
    <w:rsid w:val="00CC2232"/>
    <w:rsid w:val="00CC2ECF"/>
    <w:rsid w:val="00CC396E"/>
    <w:rsid w:val="00CC51F8"/>
    <w:rsid w:val="00CC53FA"/>
    <w:rsid w:val="00CD1AAC"/>
    <w:rsid w:val="00CD3FE5"/>
    <w:rsid w:val="00CE279D"/>
    <w:rsid w:val="00CE27BF"/>
    <w:rsid w:val="00CE2AD6"/>
    <w:rsid w:val="00CE6BD2"/>
    <w:rsid w:val="00CF47BA"/>
    <w:rsid w:val="00CF5599"/>
    <w:rsid w:val="00D02B3F"/>
    <w:rsid w:val="00D3137D"/>
    <w:rsid w:val="00D32047"/>
    <w:rsid w:val="00D33FD0"/>
    <w:rsid w:val="00D44E03"/>
    <w:rsid w:val="00D46225"/>
    <w:rsid w:val="00D524B2"/>
    <w:rsid w:val="00D52FB1"/>
    <w:rsid w:val="00D542D3"/>
    <w:rsid w:val="00D63F8E"/>
    <w:rsid w:val="00D642BC"/>
    <w:rsid w:val="00D64577"/>
    <w:rsid w:val="00D67921"/>
    <w:rsid w:val="00D83B2E"/>
    <w:rsid w:val="00D8407C"/>
    <w:rsid w:val="00D861B6"/>
    <w:rsid w:val="00D907D5"/>
    <w:rsid w:val="00D939BC"/>
    <w:rsid w:val="00DA1BEE"/>
    <w:rsid w:val="00DB19C7"/>
    <w:rsid w:val="00DC3486"/>
    <w:rsid w:val="00DC5BF6"/>
    <w:rsid w:val="00DC5C19"/>
    <w:rsid w:val="00DC7154"/>
    <w:rsid w:val="00DD1544"/>
    <w:rsid w:val="00DD4425"/>
    <w:rsid w:val="00DD722E"/>
    <w:rsid w:val="00DD7B38"/>
    <w:rsid w:val="00DE4AFD"/>
    <w:rsid w:val="00DE4B89"/>
    <w:rsid w:val="00DF49F7"/>
    <w:rsid w:val="00DF50D1"/>
    <w:rsid w:val="00DF7A87"/>
    <w:rsid w:val="00E0045E"/>
    <w:rsid w:val="00E02D20"/>
    <w:rsid w:val="00E02EB7"/>
    <w:rsid w:val="00E13953"/>
    <w:rsid w:val="00E22444"/>
    <w:rsid w:val="00E237B9"/>
    <w:rsid w:val="00E27AFD"/>
    <w:rsid w:val="00E3012D"/>
    <w:rsid w:val="00E302D0"/>
    <w:rsid w:val="00E30CDE"/>
    <w:rsid w:val="00E322C0"/>
    <w:rsid w:val="00E342EC"/>
    <w:rsid w:val="00E60030"/>
    <w:rsid w:val="00E63A81"/>
    <w:rsid w:val="00E71BD5"/>
    <w:rsid w:val="00E81556"/>
    <w:rsid w:val="00E837EF"/>
    <w:rsid w:val="00E8596F"/>
    <w:rsid w:val="00E90470"/>
    <w:rsid w:val="00E905D8"/>
    <w:rsid w:val="00E937EB"/>
    <w:rsid w:val="00E94992"/>
    <w:rsid w:val="00EA0465"/>
    <w:rsid w:val="00EA625D"/>
    <w:rsid w:val="00EB1F8B"/>
    <w:rsid w:val="00EB3980"/>
    <w:rsid w:val="00EB3E20"/>
    <w:rsid w:val="00EC1CE4"/>
    <w:rsid w:val="00EC4F98"/>
    <w:rsid w:val="00ED06A4"/>
    <w:rsid w:val="00ED1A2C"/>
    <w:rsid w:val="00ED30CD"/>
    <w:rsid w:val="00ED5278"/>
    <w:rsid w:val="00EE480E"/>
    <w:rsid w:val="00EF1320"/>
    <w:rsid w:val="00EF2547"/>
    <w:rsid w:val="00EF7739"/>
    <w:rsid w:val="00EF7E00"/>
    <w:rsid w:val="00F0704B"/>
    <w:rsid w:val="00F10099"/>
    <w:rsid w:val="00F12069"/>
    <w:rsid w:val="00F3167D"/>
    <w:rsid w:val="00F335D1"/>
    <w:rsid w:val="00F376A8"/>
    <w:rsid w:val="00F425CA"/>
    <w:rsid w:val="00F46E4A"/>
    <w:rsid w:val="00F47704"/>
    <w:rsid w:val="00F643DB"/>
    <w:rsid w:val="00F72F73"/>
    <w:rsid w:val="00F736B2"/>
    <w:rsid w:val="00F73FC6"/>
    <w:rsid w:val="00F7465F"/>
    <w:rsid w:val="00F8494F"/>
    <w:rsid w:val="00F869FF"/>
    <w:rsid w:val="00FA268B"/>
    <w:rsid w:val="00FB5FA8"/>
    <w:rsid w:val="00FC70E6"/>
    <w:rsid w:val="00FE6598"/>
    <w:rsid w:val="00FF0BBB"/>
    <w:rsid w:val="00FF2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1D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7E5"/>
    <w:pPr>
      <w:tabs>
        <w:tab w:val="center" w:pos="4320"/>
        <w:tab w:val="right" w:pos="8640"/>
      </w:tabs>
    </w:pPr>
  </w:style>
  <w:style w:type="paragraph" w:styleId="Footer">
    <w:name w:val="footer"/>
    <w:basedOn w:val="Normal"/>
    <w:rsid w:val="005337E5"/>
    <w:pPr>
      <w:tabs>
        <w:tab w:val="center" w:pos="4320"/>
        <w:tab w:val="right" w:pos="8640"/>
      </w:tabs>
    </w:pPr>
  </w:style>
  <w:style w:type="character" w:styleId="PageNumber">
    <w:name w:val="page number"/>
    <w:basedOn w:val="DefaultParagraphFont"/>
    <w:rsid w:val="005337E5"/>
  </w:style>
  <w:style w:type="paragraph" w:styleId="EndnoteText">
    <w:name w:val="endnote text"/>
    <w:basedOn w:val="Normal"/>
    <w:semiHidden/>
    <w:rsid w:val="00493047"/>
    <w:rPr>
      <w:rFonts w:eastAsia="Times New Roman"/>
      <w:sz w:val="20"/>
      <w:szCs w:val="20"/>
      <w:lang w:eastAsia="en-US"/>
    </w:rPr>
  </w:style>
  <w:style w:type="character" w:styleId="EndnoteReference">
    <w:name w:val="endnote reference"/>
    <w:basedOn w:val="DefaultParagraphFont"/>
    <w:semiHidden/>
    <w:rsid w:val="00493047"/>
    <w:rPr>
      <w:vertAlign w:val="superscript"/>
    </w:rPr>
  </w:style>
  <w:style w:type="paragraph" w:styleId="DocumentMap">
    <w:name w:val="Document Map"/>
    <w:basedOn w:val="Normal"/>
    <w:semiHidden/>
    <w:rsid w:val="0055273F"/>
    <w:pPr>
      <w:shd w:val="clear" w:color="auto" w:fill="000080"/>
    </w:pPr>
    <w:rPr>
      <w:rFonts w:ascii="Tahoma" w:hAnsi="Tahoma" w:cs="Tahoma"/>
    </w:rPr>
  </w:style>
  <w:style w:type="paragraph" w:styleId="NormalWeb">
    <w:name w:val="Normal (Web)"/>
    <w:basedOn w:val="Normal"/>
    <w:rsid w:val="00493047"/>
    <w:pPr>
      <w:spacing w:after="120"/>
    </w:pPr>
    <w:rPr>
      <w:rFonts w:eastAsia="Times New Roman"/>
      <w:lang w:eastAsia="en-US"/>
    </w:rPr>
  </w:style>
  <w:style w:type="character" w:customStyle="1" w:styleId="ccbnttl1">
    <w:name w:val="ccbnttl1"/>
    <w:basedOn w:val="DefaultParagraphFont"/>
    <w:rsid w:val="00ED06A4"/>
    <w:rPr>
      <w:rFonts w:ascii="Arial" w:hAnsi="Arial" w:cs="Arial" w:hint="default"/>
      <w:b/>
      <w:bCs/>
      <w:color w:val="000000"/>
      <w:sz w:val="17"/>
      <w:szCs w:val="17"/>
    </w:rPr>
  </w:style>
  <w:style w:type="paragraph" w:styleId="BalloonText">
    <w:name w:val="Balloon Text"/>
    <w:basedOn w:val="Normal"/>
    <w:semiHidden/>
    <w:rsid w:val="00CA5E94"/>
    <w:rPr>
      <w:rFonts w:ascii="Tahoma" w:hAnsi="Tahoma" w:cs="Tahoma"/>
      <w:sz w:val="16"/>
      <w:szCs w:val="16"/>
    </w:rPr>
  </w:style>
  <w:style w:type="paragraph" w:styleId="ListParagraph">
    <w:name w:val="List Paragraph"/>
    <w:basedOn w:val="Normal"/>
    <w:uiPriority w:val="34"/>
    <w:qFormat/>
    <w:rsid w:val="002D6F5B"/>
    <w:pPr>
      <w:ind w:left="720"/>
      <w:contextualSpacing/>
    </w:pPr>
  </w:style>
  <w:style w:type="table" w:styleId="TableGrid">
    <w:name w:val="Table Grid"/>
    <w:basedOn w:val="TableNormal"/>
    <w:uiPriority w:val="59"/>
    <w:rsid w:val="005D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B1F8B"/>
    <w:rPr>
      <w:sz w:val="16"/>
      <w:szCs w:val="16"/>
    </w:rPr>
  </w:style>
  <w:style w:type="paragraph" w:styleId="CommentText">
    <w:name w:val="annotation text"/>
    <w:basedOn w:val="Normal"/>
    <w:link w:val="CommentTextChar"/>
    <w:uiPriority w:val="99"/>
    <w:unhideWhenUsed/>
    <w:rsid w:val="00EB1F8B"/>
    <w:rPr>
      <w:sz w:val="20"/>
      <w:szCs w:val="20"/>
    </w:rPr>
  </w:style>
  <w:style w:type="character" w:customStyle="1" w:styleId="CommentTextChar">
    <w:name w:val="Comment Text Char"/>
    <w:basedOn w:val="DefaultParagraphFont"/>
    <w:link w:val="CommentText"/>
    <w:uiPriority w:val="99"/>
    <w:rsid w:val="00EB1F8B"/>
    <w:rPr>
      <w:lang w:eastAsia="zh-CN"/>
    </w:rPr>
  </w:style>
  <w:style w:type="table" w:styleId="LightShading-Accent1">
    <w:name w:val="Light Shading Accent 1"/>
    <w:basedOn w:val="TableNormal"/>
    <w:uiPriority w:val="60"/>
    <w:rsid w:val="00B0452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3">
    <w:name w:val="Medium List 2 Accent 3"/>
    <w:basedOn w:val="TableNormal"/>
    <w:uiPriority w:val="66"/>
    <w:rsid w:val="007104D1"/>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104D1"/>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7104D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546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6DF1-5A39-4058-9453-048B0AAE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3M Cultivating Core Competency</vt:lpstr>
    </vt:vector>
  </TitlesOfParts>
  <Company>Malvern School District</Company>
  <LinksUpToDate>false</LinksUpToDate>
  <CharactersWithSpaces>15138</CharactersWithSpaces>
  <SharedDoc>false</SharedDoc>
  <HLinks>
    <vt:vector size="6" baseType="variant">
      <vt:variant>
        <vt:i4>5439492</vt:i4>
      </vt:variant>
      <vt:variant>
        <vt:i4>0</vt:i4>
      </vt:variant>
      <vt:variant>
        <vt:i4>0</vt:i4>
      </vt:variant>
      <vt:variant>
        <vt:i4>5</vt:i4>
      </vt:variant>
      <vt:variant>
        <vt:lpwstr>http://premium.hoovers.com/subscribe/co/factsheet.xhtml?ID=fffrffkhtkssjcjkrj&amp;ticker=NFLX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3M Cultivating Core Competency</dc:title>
  <dc:creator>Kristi L. Marshall</dc:creator>
  <cp:lastModifiedBy>jsurratt</cp:lastModifiedBy>
  <cp:revision>2</cp:revision>
  <cp:lastPrinted>2011-08-15T22:51:00Z</cp:lastPrinted>
  <dcterms:created xsi:type="dcterms:W3CDTF">2015-11-29T23:49:00Z</dcterms:created>
  <dcterms:modified xsi:type="dcterms:W3CDTF">2015-11-29T23:49:00Z</dcterms:modified>
</cp:coreProperties>
</file>