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EF41"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b/>
          <w:bCs/>
          <w:color w:val="111111"/>
          <w:bdr w:val="none" w:sz="0" w:space="0" w:color="auto" w:frame="1"/>
        </w:rPr>
        <w:t>Rubric for Case Study Paper</w:t>
      </w:r>
    </w:p>
    <w:p w14:paraId="1DC363DC"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Each student will be required to submit a case study on a violent criminal or criminals.  Emphasis should be on the background of the individuals studied and the criminal act(s) or the motivation(s) for the violent acts. </w:t>
      </w:r>
    </w:p>
    <w:p w14:paraId="6BDAC131"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During the course, you will have learned that many theories on criminal behavior overlap, and that it is not uncommon for more than one theory to explain why the criminal act(s) occurred.   Your paper should apply these theories of criminal behavior to the subject's life history.  If you desire to do a fictional character or unsolved crime, please clear with the instructor.  Do not choose a political or military individual (Hitler, Stalin, Pol Pot, etc.).</w:t>
      </w:r>
    </w:p>
    <w:p w14:paraId="42325F93" w14:textId="77777777" w:rsidR="007A4C37" w:rsidRDefault="007A4C37" w:rsidP="007A4C37">
      <w:pPr>
        <w:shd w:val="clear" w:color="auto" w:fill="F4F4F4"/>
        <w:rPr>
          <w:rFonts w:asciiTheme="majorBidi" w:hAnsiTheme="majorBidi" w:cstheme="majorBidi"/>
          <w:color w:val="111111"/>
          <w:bdr w:val="none" w:sz="0" w:space="0" w:color="auto" w:frame="1"/>
        </w:rPr>
      </w:pPr>
    </w:p>
    <w:p w14:paraId="21895E19" w14:textId="77777777" w:rsidR="007A4C37" w:rsidRPr="007A4C37" w:rsidRDefault="007A4C37" w:rsidP="007A4C37">
      <w:pPr>
        <w:shd w:val="clear" w:color="auto" w:fill="F4F4F4"/>
        <w:rPr>
          <w:rFonts w:asciiTheme="majorBidi" w:hAnsiTheme="majorBidi" w:cstheme="majorBidi"/>
          <w:color w:val="111111"/>
        </w:rPr>
      </w:pPr>
    </w:p>
    <w:p w14:paraId="2DEBBACD" w14:textId="77777777" w:rsidR="007A4C37" w:rsidRDefault="007A4C37" w:rsidP="007A4C37">
      <w:pPr>
        <w:shd w:val="clear" w:color="auto" w:fill="F4F4F4"/>
        <w:outlineLvl w:val="0"/>
        <w:rPr>
          <w:rFonts w:asciiTheme="majorBidi" w:eastAsia="Times New Roman" w:hAnsiTheme="majorBidi" w:cstheme="majorBidi"/>
          <w:b/>
          <w:bCs/>
          <w:color w:val="111111"/>
          <w:kern w:val="36"/>
          <w:bdr w:val="none" w:sz="0" w:space="0" w:color="auto" w:frame="1"/>
        </w:rPr>
      </w:pPr>
      <w:r w:rsidRPr="007A4C37">
        <w:rPr>
          <w:rFonts w:asciiTheme="majorBidi" w:eastAsia="Times New Roman" w:hAnsiTheme="majorBidi" w:cstheme="majorBidi"/>
          <w:b/>
          <w:bCs/>
          <w:color w:val="111111"/>
          <w:kern w:val="36"/>
        </w:rPr>
        <w:t>Rating:</w:t>
      </w:r>
      <w:r w:rsidRPr="007A4C37">
        <w:rPr>
          <w:rFonts w:asciiTheme="majorBidi" w:eastAsia="Times New Roman" w:hAnsiTheme="majorBidi" w:cstheme="majorBidi"/>
          <w:b/>
          <w:bCs/>
          <w:color w:val="111111"/>
          <w:kern w:val="36"/>
          <w:bdr w:val="none" w:sz="0" w:space="0" w:color="auto" w:frame="1"/>
        </w:rPr>
        <w:t> </w:t>
      </w:r>
    </w:p>
    <w:p w14:paraId="476A1C85" w14:textId="77777777" w:rsidR="007A4C37" w:rsidRPr="007A4C37" w:rsidRDefault="007A4C37" w:rsidP="007A4C37">
      <w:pPr>
        <w:shd w:val="clear" w:color="auto" w:fill="F4F4F4"/>
        <w:outlineLvl w:val="0"/>
        <w:rPr>
          <w:rFonts w:asciiTheme="majorBidi" w:eastAsia="Times New Roman" w:hAnsiTheme="majorBidi" w:cstheme="majorBidi"/>
          <w:b/>
          <w:bCs/>
          <w:color w:val="111111"/>
          <w:kern w:val="36"/>
        </w:rPr>
      </w:pPr>
      <w:bookmarkStart w:id="0" w:name="_GoBack"/>
      <w:bookmarkEnd w:id="0"/>
    </w:p>
    <w:p w14:paraId="4CD4F02F" w14:textId="77777777" w:rsidR="007A4C37" w:rsidRPr="007A4C37" w:rsidRDefault="007A4C37" w:rsidP="007A4C37">
      <w:pPr>
        <w:shd w:val="clear" w:color="auto" w:fill="F4F4F4"/>
        <w:ind w:left="360"/>
        <w:outlineLvl w:val="0"/>
        <w:rPr>
          <w:rFonts w:asciiTheme="majorBidi" w:eastAsia="Times New Roman" w:hAnsiTheme="majorBidi" w:cstheme="majorBidi"/>
          <w:b/>
          <w:bCs/>
          <w:color w:val="111111"/>
          <w:kern w:val="36"/>
        </w:rPr>
      </w:pPr>
      <w:r w:rsidRPr="007A4C37">
        <w:rPr>
          <w:rFonts w:asciiTheme="majorBidi" w:eastAsia="Times New Roman" w:hAnsiTheme="majorBidi" w:cstheme="majorBidi"/>
          <w:b/>
          <w:bCs/>
          <w:color w:val="111111"/>
          <w:kern w:val="36"/>
          <w:bdr w:val="none" w:sz="0" w:space="0" w:color="auto" w:frame="1"/>
        </w:rPr>
        <w:t>Exceptional</w:t>
      </w:r>
      <w:r w:rsidRPr="007A4C37">
        <w:rPr>
          <w:rFonts w:asciiTheme="majorBidi" w:eastAsia="Times New Roman" w:hAnsiTheme="majorBidi" w:cstheme="majorBidi"/>
          <w:color w:val="111111"/>
          <w:kern w:val="36"/>
          <w:bdr w:val="none" w:sz="0" w:space="0" w:color="auto" w:frame="1"/>
        </w:rPr>
        <w:t xml:space="preserve"> corresponds to </w:t>
      </w:r>
      <w:proofErr w:type="gramStart"/>
      <w:r w:rsidRPr="007A4C37">
        <w:rPr>
          <w:rFonts w:asciiTheme="majorBidi" w:eastAsia="Times New Roman" w:hAnsiTheme="majorBidi" w:cstheme="majorBidi"/>
          <w:color w:val="111111"/>
          <w:kern w:val="36"/>
          <w:bdr w:val="none" w:sz="0" w:space="0" w:color="auto" w:frame="1"/>
        </w:rPr>
        <w:t>an  A</w:t>
      </w:r>
      <w:proofErr w:type="gramEnd"/>
      <w:r w:rsidRPr="007A4C37">
        <w:rPr>
          <w:rFonts w:asciiTheme="majorBidi" w:eastAsia="Times New Roman" w:hAnsiTheme="majorBidi" w:cstheme="majorBidi"/>
          <w:color w:val="111111"/>
          <w:kern w:val="36"/>
          <w:bdr w:val="none" w:sz="0" w:space="0" w:color="auto" w:frame="1"/>
        </w:rPr>
        <w:t xml:space="preserve"> (90-100). Performance is outstanding; significantly above the usual expectations.</w:t>
      </w:r>
    </w:p>
    <w:p w14:paraId="200F1B0F" w14:textId="77777777" w:rsidR="007A4C37" w:rsidRPr="007A4C37" w:rsidRDefault="007A4C37" w:rsidP="007A4C37">
      <w:pPr>
        <w:shd w:val="clear" w:color="auto" w:fill="F4F4F4"/>
        <w:ind w:left="360"/>
        <w:outlineLvl w:val="0"/>
        <w:rPr>
          <w:rFonts w:asciiTheme="majorBidi" w:eastAsia="Times New Roman" w:hAnsiTheme="majorBidi" w:cstheme="majorBidi"/>
          <w:b/>
          <w:bCs/>
          <w:color w:val="111111"/>
          <w:kern w:val="36"/>
        </w:rPr>
      </w:pPr>
      <w:r w:rsidRPr="007A4C37">
        <w:rPr>
          <w:rFonts w:asciiTheme="majorBidi" w:eastAsia="Times New Roman" w:hAnsiTheme="majorBidi" w:cstheme="majorBidi"/>
          <w:b/>
          <w:bCs/>
          <w:color w:val="111111"/>
          <w:kern w:val="36"/>
          <w:bdr w:val="none" w:sz="0" w:space="0" w:color="auto" w:frame="1"/>
        </w:rPr>
        <w:t>Proficient</w:t>
      </w:r>
      <w:r w:rsidRPr="007A4C37">
        <w:rPr>
          <w:rFonts w:asciiTheme="majorBidi" w:eastAsia="Times New Roman" w:hAnsiTheme="majorBidi" w:cstheme="majorBidi"/>
          <w:color w:val="111111"/>
          <w:kern w:val="36"/>
          <w:bdr w:val="none" w:sz="0" w:space="0" w:color="auto" w:frame="1"/>
        </w:rPr>
        <w:t> corresponds to a grade of B (80-89%). Skills and standards are at the level of expectation. </w:t>
      </w:r>
    </w:p>
    <w:p w14:paraId="7E8DDC12"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Basic</w:t>
      </w:r>
      <w:r w:rsidRPr="007A4C37">
        <w:rPr>
          <w:rFonts w:asciiTheme="majorBidi" w:hAnsiTheme="majorBidi" w:cstheme="majorBidi"/>
          <w:color w:val="111111"/>
          <w:bdr w:val="none" w:sz="0" w:space="0" w:color="auto" w:frame="1"/>
        </w:rPr>
        <w:t xml:space="preserve"> corresponds to a </w:t>
      </w:r>
      <w:proofErr w:type="gramStart"/>
      <w:r w:rsidRPr="007A4C37">
        <w:rPr>
          <w:rFonts w:asciiTheme="majorBidi" w:hAnsiTheme="majorBidi" w:cstheme="majorBidi"/>
          <w:color w:val="111111"/>
          <w:bdr w:val="none" w:sz="0" w:space="0" w:color="auto" w:frame="1"/>
        </w:rPr>
        <w:t>C  (</w:t>
      </w:r>
      <w:proofErr w:type="gramEnd"/>
      <w:r w:rsidRPr="007A4C37">
        <w:rPr>
          <w:rFonts w:asciiTheme="majorBidi" w:hAnsiTheme="majorBidi" w:cstheme="majorBidi"/>
          <w:color w:val="111111"/>
          <w:bdr w:val="none" w:sz="0" w:space="0" w:color="auto" w:frame="1"/>
        </w:rPr>
        <w:t>70-79%). Skills and standards are acceptable but improvements are needed to meet expectations well.</w:t>
      </w:r>
    </w:p>
    <w:p w14:paraId="2340A5A3"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Novice</w:t>
      </w:r>
      <w:r w:rsidRPr="007A4C37">
        <w:rPr>
          <w:rFonts w:asciiTheme="majorBidi" w:hAnsiTheme="majorBidi" w:cstheme="majorBidi"/>
          <w:color w:val="111111"/>
          <w:bdr w:val="none" w:sz="0" w:space="0" w:color="auto" w:frame="1"/>
        </w:rPr>
        <w:t> corresponds to a D (60-69%). Performance is weak; the skills or standards are not sufficiently demonstrated at this time.</w:t>
      </w:r>
    </w:p>
    <w:p w14:paraId="021F24E0"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0</w:t>
      </w:r>
      <w:r w:rsidRPr="007A4C37">
        <w:rPr>
          <w:rFonts w:asciiTheme="majorBidi" w:hAnsiTheme="majorBidi" w:cstheme="majorBidi"/>
          <w:color w:val="111111"/>
          <w:bdr w:val="none" w:sz="0" w:space="0" w:color="auto" w:frame="1"/>
        </w:rPr>
        <w:t> This criterion is missing or not in evidence.</w:t>
      </w:r>
    </w:p>
    <w:p w14:paraId="7FD663DD"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 </w:t>
      </w:r>
    </w:p>
    <w:tbl>
      <w:tblPr>
        <w:tblW w:w="11415" w:type="dxa"/>
        <w:tblInd w:w="-721"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firstRow="1" w:lastRow="0" w:firstColumn="1" w:lastColumn="0" w:noHBand="0" w:noVBand="1"/>
      </w:tblPr>
      <w:tblGrid>
        <w:gridCol w:w="4579"/>
        <w:gridCol w:w="902"/>
        <w:gridCol w:w="1263"/>
        <w:gridCol w:w="1215"/>
        <w:gridCol w:w="1567"/>
        <w:gridCol w:w="1889"/>
      </w:tblGrid>
      <w:tr w:rsidR="007A4C37" w:rsidRPr="007A4C37" w14:paraId="411F365A" w14:textId="77777777" w:rsidTr="007A4C37">
        <w:trPr>
          <w:trHeight w:val="232"/>
        </w:trPr>
        <w:tc>
          <w:tcPr>
            <w:tcW w:w="4579" w:type="dxa"/>
            <w:vMerge w:val="restart"/>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5EC201D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 </w:t>
            </w:r>
          </w:p>
          <w:p w14:paraId="53CE26F8"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Criteria</w:t>
            </w:r>
          </w:p>
        </w:tc>
        <w:tc>
          <w:tcPr>
            <w:tcW w:w="6836" w:type="dxa"/>
            <w:gridSpan w:val="5"/>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14:paraId="26B9CDF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Ratings</w:t>
            </w:r>
          </w:p>
        </w:tc>
      </w:tr>
      <w:tr w:rsidR="007A4C37" w:rsidRPr="007A4C37" w14:paraId="73E4E085" w14:textId="77777777" w:rsidTr="007A4C37">
        <w:trPr>
          <w:trHeight w:val="139"/>
        </w:trPr>
        <w:tc>
          <w:tcPr>
            <w:tcW w:w="4579" w:type="dxa"/>
            <w:vMerge/>
            <w:tcBorders>
              <w:top w:val="single" w:sz="8" w:space="0" w:color="auto"/>
              <w:left w:val="single" w:sz="8" w:space="0" w:color="auto"/>
              <w:bottom w:val="single" w:sz="8" w:space="0" w:color="auto"/>
              <w:right w:val="single" w:sz="8" w:space="0" w:color="auto"/>
            </w:tcBorders>
            <w:shd w:val="clear" w:color="auto" w:fill="F4F4F4"/>
            <w:vAlign w:val="center"/>
            <w:hideMark/>
          </w:tcPr>
          <w:p w14:paraId="6574E852" w14:textId="77777777" w:rsidR="007A4C37" w:rsidRPr="007A4C37" w:rsidRDefault="007A4C37" w:rsidP="007A4C37">
            <w:pPr>
              <w:rPr>
                <w:rFonts w:asciiTheme="majorBidi" w:hAnsiTheme="majorBidi" w:cstheme="majorBidi"/>
                <w:color w:val="111111"/>
              </w:rPr>
            </w:pP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101728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3F934543"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Novice</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FD4F93A"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Basic</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869F06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Proficient</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3385A1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Exceptional</w:t>
            </w:r>
          </w:p>
        </w:tc>
      </w:tr>
      <w:tr w:rsidR="007A4C37" w:rsidRPr="007A4C37" w14:paraId="1C501E2E" w14:textId="77777777" w:rsidTr="007A4C37">
        <w:trPr>
          <w:trHeight w:val="484"/>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2E86490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clearly discussed the factors or influences that led to the violent crime(s). </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0AD3F9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25%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16CF206"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B8DA15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372E27D"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967C07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54D4712D"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8A288FA"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applied the appropriate criminal behavior theories to the individual(s) studied. (Opinion)</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E6DB67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1FEA0D0"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06C4FBC"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63BC90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E9BA9F9"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619BAEEC"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5069C4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made a connection between the selected offense(s)/criminal(s) and the historical or social framework of the act(s).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9A5E380"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10%</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C1576A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E758D48"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EB9C7DD"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83558C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1F3226F1" w14:textId="77777777" w:rsidTr="007A4C37">
        <w:trPr>
          <w:trHeight w:val="469"/>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2C926B67"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Grammar, spelling, and syntax were appropriate to the college level</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82F15D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1651D7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F28219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19D8302"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2B7C5F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591DE310"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20CA458"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Typed in a double-spaced APA format with citations and references </w:t>
            </w:r>
            <w:r w:rsidRPr="007A4C37">
              <w:rPr>
                <w:rFonts w:asciiTheme="majorBidi" w:hAnsiTheme="majorBidi" w:cstheme="majorBidi"/>
                <w:color w:val="111111"/>
              </w:rPr>
              <w:t>–</w:t>
            </w:r>
            <w:r w:rsidRPr="007A4C37">
              <w:rPr>
                <w:rFonts w:asciiTheme="majorBidi" w:hAnsiTheme="majorBidi" w:cstheme="majorBidi"/>
                <w:color w:val="111111"/>
                <w:bdr w:val="none" w:sz="0" w:space="0" w:color="auto" w:frame="1"/>
              </w:rPr>
              <w:t> </w:t>
            </w:r>
            <w:r w:rsidRPr="007A4C37">
              <w:rPr>
                <w:rFonts w:asciiTheme="majorBidi" w:hAnsiTheme="majorBidi" w:cstheme="majorBidi"/>
                <w:b/>
                <w:bCs/>
                <w:color w:val="FF0000"/>
                <w:bdr w:val="none" w:sz="0" w:space="0" w:color="auto" w:frame="1"/>
              </w:rPr>
              <w:t>including in-text citations.   </w:t>
            </w:r>
            <w:r w:rsidRPr="007A4C37">
              <w:rPr>
                <w:rFonts w:asciiTheme="majorBidi" w:hAnsiTheme="majorBidi" w:cstheme="majorBidi"/>
                <w:b/>
                <w:bCs/>
                <w:color w:val="111111"/>
              </w:rPr>
              <w:t>Length 8-11 pages.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A09B809"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20%</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1E5F29C"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D990D21"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399AF9E"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9F2F7E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0A167D42" w14:textId="77777777" w:rsidTr="007A4C37">
        <w:trPr>
          <w:trHeight w:val="943"/>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A9CBDD8"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used an appropriate number of acceptable sources. </w:t>
            </w:r>
            <w:r w:rsidRPr="007A4C37">
              <w:rPr>
                <w:rFonts w:asciiTheme="majorBidi" w:hAnsiTheme="majorBidi" w:cstheme="majorBidi"/>
                <w:color w:val="111111"/>
                <w:u w:val="single"/>
                <w:bdr w:val="none" w:sz="0" w:space="0" w:color="auto" w:frame="1"/>
              </w:rPr>
              <w:t>Wikipedia is not an acceptable or reputable source.</w:t>
            </w:r>
            <w:r w:rsidRPr="007A4C37">
              <w:rPr>
                <w:rFonts w:asciiTheme="majorBidi" w:hAnsiTheme="majorBidi" w:cstheme="majorBidi"/>
                <w:color w:val="111111"/>
                <w:bdr w:val="none" w:sz="0" w:space="0" w:color="auto" w:frame="1"/>
              </w:rPr>
              <w:t>  </w:t>
            </w:r>
            <w:r w:rsidRPr="007A4C37">
              <w:rPr>
                <w:rFonts w:asciiTheme="majorBidi" w:hAnsiTheme="majorBidi" w:cstheme="majorBidi"/>
                <w:color w:val="111111"/>
              </w:rPr>
              <w:t> (Minimum of</w:t>
            </w:r>
            <w:r w:rsidRPr="007A4C37">
              <w:rPr>
                <w:rFonts w:asciiTheme="majorBidi" w:hAnsiTheme="majorBidi" w:cstheme="majorBidi"/>
                <w:color w:val="111111"/>
                <w:bdr w:val="none" w:sz="0" w:space="0" w:color="auto" w:frame="1"/>
              </w:rPr>
              <w:t> </w:t>
            </w:r>
            <w:r w:rsidRPr="007A4C37">
              <w:rPr>
                <w:rFonts w:asciiTheme="majorBidi" w:hAnsiTheme="majorBidi" w:cstheme="majorBidi"/>
                <w:b/>
                <w:bCs/>
                <w:color w:val="111111"/>
              </w:rPr>
              <w:t>4 sources)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A2BE9E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1B9F680"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6325853"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473617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96EC8B4"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bl>
    <w:p w14:paraId="1BCFF49E" w14:textId="77777777" w:rsidR="000551C7" w:rsidRPr="007A4C37" w:rsidRDefault="003C0C4A" w:rsidP="007A4C37">
      <w:pPr>
        <w:tabs>
          <w:tab w:val="left" w:pos="3380"/>
        </w:tabs>
      </w:pPr>
    </w:p>
    <w:sectPr w:rsidR="000551C7" w:rsidRPr="007A4C37" w:rsidSect="00E81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A110E" w14:textId="77777777" w:rsidR="003C0C4A" w:rsidRDefault="003C0C4A" w:rsidP="00865696">
      <w:r>
        <w:separator/>
      </w:r>
    </w:p>
  </w:endnote>
  <w:endnote w:type="continuationSeparator" w:id="0">
    <w:p w14:paraId="646ECA6E" w14:textId="77777777" w:rsidR="003C0C4A" w:rsidRDefault="003C0C4A" w:rsidP="0086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4B2B4" w14:textId="77777777" w:rsidR="003C0C4A" w:rsidRDefault="003C0C4A" w:rsidP="00865696">
      <w:r>
        <w:separator/>
      </w:r>
    </w:p>
  </w:footnote>
  <w:footnote w:type="continuationSeparator" w:id="0">
    <w:p w14:paraId="1E20C984" w14:textId="77777777" w:rsidR="003C0C4A" w:rsidRDefault="003C0C4A" w:rsidP="00865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96"/>
    <w:rsid w:val="001A6B12"/>
    <w:rsid w:val="003C0C4A"/>
    <w:rsid w:val="007A4C37"/>
    <w:rsid w:val="00865696"/>
    <w:rsid w:val="00E8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0864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6569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696"/>
    <w:rPr>
      <w:rFonts w:ascii="Times New Roman" w:hAnsi="Times New Roman" w:cs="Times New Roman"/>
      <w:b/>
      <w:bCs/>
      <w:kern w:val="36"/>
      <w:sz w:val="48"/>
      <w:szCs w:val="48"/>
    </w:rPr>
  </w:style>
  <w:style w:type="paragraph" w:styleId="NormalWeb">
    <w:name w:val="Normal (Web)"/>
    <w:basedOn w:val="Normal"/>
    <w:uiPriority w:val="99"/>
    <w:semiHidden/>
    <w:unhideWhenUsed/>
    <w:rsid w:val="0086569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65696"/>
  </w:style>
  <w:style w:type="paragraph" w:styleId="Header">
    <w:name w:val="header"/>
    <w:basedOn w:val="Normal"/>
    <w:link w:val="HeaderChar"/>
    <w:uiPriority w:val="99"/>
    <w:unhideWhenUsed/>
    <w:rsid w:val="00865696"/>
    <w:pPr>
      <w:tabs>
        <w:tab w:val="center" w:pos="4680"/>
        <w:tab w:val="right" w:pos="9360"/>
      </w:tabs>
    </w:pPr>
  </w:style>
  <w:style w:type="character" w:customStyle="1" w:styleId="HeaderChar">
    <w:name w:val="Header Char"/>
    <w:basedOn w:val="DefaultParagraphFont"/>
    <w:link w:val="Header"/>
    <w:uiPriority w:val="99"/>
    <w:rsid w:val="00865696"/>
  </w:style>
  <w:style w:type="paragraph" w:styleId="Footer">
    <w:name w:val="footer"/>
    <w:basedOn w:val="Normal"/>
    <w:link w:val="FooterChar"/>
    <w:uiPriority w:val="99"/>
    <w:unhideWhenUsed/>
    <w:rsid w:val="00865696"/>
    <w:pPr>
      <w:tabs>
        <w:tab w:val="center" w:pos="4680"/>
        <w:tab w:val="right" w:pos="9360"/>
      </w:tabs>
    </w:pPr>
  </w:style>
  <w:style w:type="character" w:customStyle="1" w:styleId="FooterChar">
    <w:name w:val="Footer Char"/>
    <w:basedOn w:val="DefaultParagraphFont"/>
    <w:link w:val="Footer"/>
    <w:uiPriority w:val="99"/>
    <w:rsid w:val="0086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386">
      <w:bodyDiv w:val="1"/>
      <w:marLeft w:val="0"/>
      <w:marRight w:val="0"/>
      <w:marTop w:val="0"/>
      <w:marBottom w:val="0"/>
      <w:divBdr>
        <w:top w:val="none" w:sz="0" w:space="0" w:color="auto"/>
        <w:left w:val="none" w:sz="0" w:space="0" w:color="auto"/>
        <w:bottom w:val="none" w:sz="0" w:space="0" w:color="auto"/>
        <w:right w:val="none" w:sz="0" w:space="0" w:color="auto"/>
      </w:divBdr>
    </w:div>
    <w:div w:id="1064063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Words>
  <Characters>1696</Characters>
  <Application>Microsoft Macintosh Word</Application>
  <DocSecurity>0</DocSecurity>
  <Lines>33</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Rating: </vt:lpstr>
      <vt:lpstr/>
      <vt:lpstr>Exceptional corresponds to an  A (90-100). Performance is outstanding; significa</vt:lpstr>
      <vt:lpstr>Proficient corresponds to a grade of B (80-89%). Skills and standards are at the</vt:lpstr>
    </vt:vector>
  </TitlesOfParts>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Faleh Alajmi</dc:creator>
  <cp:keywords/>
  <dc:description/>
  <cp:lastModifiedBy>Faleh Alajmi</cp:lastModifiedBy>
  <cp:revision>1</cp:revision>
  <dcterms:created xsi:type="dcterms:W3CDTF">2017-03-28T05:32:00Z</dcterms:created>
  <dcterms:modified xsi:type="dcterms:W3CDTF">2017-03-28T05:43:00Z</dcterms:modified>
</cp:coreProperties>
</file>