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E4" w:rsidRDefault="00AC34E4" w:rsidP="00AC34E4">
      <w:pPr>
        <w:widowControl w:val="0"/>
        <w:autoSpaceDE w:val="0"/>
        <w:autoSpaceDN w:val="0"/>
        <w:adjustRightInd w:val="0"/>
        <w:rPr>
          <w:rFonts w:ascii="Arial" w:hAnsi="Arial" w:cs="Arial"/>
          <w:sz w:val="28"/>
          <w:szCs w:val="28"/>
          <w:u w:color="4E103A"/>
        </w:rPr>
      </w:pPr>
      <w:proofErr w:type="gramStart"/>
      <w:r>
        <w:rPr>
          <w:rFonts w:ascii="Arial" w:hAnsi="Arial" w:cs="Arial"/>
          <w:sz w:val="28"/>
          <w:szCs w:val="28"/>
        </w:rPr>
        <w:t>our</w:t>
      </w:r>
      <w:proofErr w:type="gramEnd"/>
      <w:r>
        <w:rPr>
          <w:rFonts w:ascii="Arial" w:hAnsi="Arial" w:cs="Arial"/>
          <w:sz w:val="28"/>
          <w:szCs w:val="28"/>
        </w:rPr>
        <w:t xml:space="preserve"> initial discussion thread is due on Day 3 (Thursday) and you have until Day 7 (Monday) to respond to your classmates. Your grade will reflect both the quality of your initial post and the depth of your responses. Reference the </w:t>
      </w:r>
      <w:r>
        <w:rPr>
          <w:rFonts w:ascii="Arial" w:hAnsi="Arial" w:cs="Arial"/>
          <w:color w:val="4E103A"/>
          <w:sz w:val="28"/>
          <w:szCs w:val="28"/>
          <w:u w:val="single" w:color="4E103A"/>
        </w:rPr>
        <w:t>Discussion Forum Grading Rubric</w:t>
      </w:r>
      <w:r>
        <w:rPr>
          <w:rFonts w:ascii="Arial" w:hAnsi="Arial" w:cs="Arial"/>
          <w:sz w:val="28"/>
          <w:szCs w:val="28"/>
          <w:u w:color="4E103A"/>
        </w:rPr>
        <w:t xml:space="preserve"> for guidance on how your discussion will be evaluated.</w:t>
      </w:r>
    </w:p>
    <w:p w:rsidR="00AC34E4" w:rsidRDefault="00AC34E4" w:rsidP="00AC34E4">
      <w:pPr>
        <w:widowControl w:val="0"/>
        <w:autoSpaceDE w:val="0"/>
        <w:autoSpaceDN w:val="0"/>
        <w:adjustRightInd w:val="0"/>
        <w:rPr>
          <w:rFonts w:ascii="Arial" w:hAnsi="Arial" w:cs="Arial"/>
          <w:sz w:val="28"/>
          <w:szCs w:val="28"/>
          <w:u w:color="4E103A"/>
        </w:rPr>
      </w:pPr>
    </w:p>
    <w:p w:rsidR="00AC34E4" w:rsidRDefault="00AC34E4" w:rsidP="00AC34E4">
      <w:pPr>
        <w:widowControl w:val="0"/>
        <w:autoSpaceDE w:val="0"/>
        <w:autoSpaceDN w:val="0"/>
        <w:adjustRightInd w:val="0"/>
        <w:rPr>
          <w:rFonts w:ascii="Arial" w:hAnsi="Arial" w:cs="Arial"/>
          <w:sz w:val="28"/>
          <w:szCs w:val="28"/>
          <w:u w:color="4E103A"/>
        </w:rPr>
      </w:pPr>
    </w:p>
    <w:p w:rsidR="00AC34E4" w:rsidRDefault="00AC34E4" w:rsidP="00AC34E4">
      <w:pPr>
        <w:widowControl w:val="0"/>
        <w:autoSpaceDE w:val="0"/>
        <w:autoSpaceDN w:val="0"/>
        <w:adjustRightInd w:val="0"/>
        <w:rPr>
          <w:rFonts w:ascii="Arial" w:hAnsi="Arial" w:cs="Arial"/>
          <w:sz w:val="28"/>
          <w:szCs w:val="28"/>
          <w:u w:color="4E103A"/>
        </w:rPr>
      </w:pPr>
    </w:p>
    <w:tbl>
      <w:tblPr>
        <w:tblW w:w="0" w:type="auto"/>
        <w:tblBorders>
          <w:top w:val="nil"/>
          <w:left w:val="nil"/>
          <w:right w:val="nil"/>
        </w:tblBorders>
        <w:tblLayout w:type="fixed"/>
        <w:tblLook w:val="0000" w:firstRow="0" w:lastRow="0" w:firstColumn="0" w:lastColumn="0" w:noHBand="0" w:noVBand="0"/>
      </w:tblPr>
      <w:tblGrid>
        <w:gridCol w:w="2000"/>
        <w:gridCol w:w="16440"/>
        <w:gridCol w:w="2980"/>
      </w:tblGrid>
      <w:tr w:rsidR="00AC34E4">
        <w:tblPrEx>
          <w:tblCellMar>
            <w:top w:w="0" w:type="dxa"/>
            <w:bottom w:w="0" w:type="dxa"/>
          </w:tblCellMar>
        </w:tblPrEx>
        <w:tc>
          <w:tcPr>
            <w:tcW w:w="21420" w:type="dxa"/>
            <w:gridSpan w:val="3"/>
            <w:tcMar>
              <w:top w:w="300" w:type="nil"/>
              <w:left w:w="40" w:type="nil"/>
              <w:bottom w:w="40" w:type="nil"/>
              <w:right w:w="40" w:type="nil"/>
            </w:tcMar>
            <w:vAlign w:val="center"/>
          </w:tcPr>
          <w:p w:rsidR="00AC34E4" w:rsidRDefault="00AC34E4">
            <w:pPr>
              <w:widowControl w:val="0"/>
              <w:autoSpaceDE w:val="0"/>
              <w:autoSpaceDN w:val="0"/>
              <w:adjustRightInd w:val="0"/>
              <w:rPr>
                <w:rFonts w:ascii="Arial" w:hAnsi="Arial" w:cs="Arial"/>
                <w:sz w:val="28"/>
                <w:szCs w:val="28"/>
                <w:u w:color="4E103A"/>
              </w:rPr>
            </w:pPr>
          </w:p>
        </w:tc>
      </w:tr>
      <w:tr w:rsidR="00AC34E4">
        <w:tblPrEx>
          <w:tblCellMar>
            <w:top w:w="0" w:type="dxa"/>
            <w:bottom w:w="0" w:type="dxa"/>
          </w:tblCellMar>
        </w:tblPrEx>
        <w:tc>
          <w:tcPr>
            <w:tcW w:w="21420" w:type="dxa"/>
            <w:gridSpan w:val="3"/>
            <w:tcMar>
              <w:top w:w="300" w:type="nil"/>
              <w:left w:w="40" w:type="nil"/>
              <w:bottom w:w="40" w:type="nil"/>
              <w:right w:w="40" w:type="nil"/>
            </w:tcMar>
            <w:vAlign w:val="center"/>
          </w:tcPr>
          <w:p w:rsidR="00AC34E4" w:rsidRDefault="00AC34E4">
            <w:pPr>
              <w:widowControl w:val="0"/>
              <w:autoSpaceDE w:val="0"/>
              <w:autoSpaceDN w:val="0"/>
              <w:adjustRightInd w:val="0"/>
              <w:rPr>
                <w:rFonts w:ascii="Arial" w:hAnsi="Arial" w:cs="Arial"/>
                <w:b/>
                <w:bCs/>
                <w:color w:val="FFFFFF"/>
                <w:sz w:val="28"/>
                <w:szCs w:val="28"/>
                <w:u w:color="4E103A"/>
              </w:rPr>
            </w:pPr>
            <w:r>
              <w:rPr>
                <w:rFonts w:ascii="Arial" w:hAnsi="Arial" w:cs="Arial"/>
                <w:b/>
                <w:bCs/>
                <w:color w:val="FFFFFF"/>
                <w:sz w:val="28"/>
                <w:szCs w:val="28"/>
                <w:u w:color="4E103A"/>
              </w:rPr>
              <w:t>Reflecting on General Education</w:t>
            </w:r>
          </w:p>
        </w:tc>
      </w:tr>
      <w:tr w:rsidR="00AC34E4">
        <w:tblPrEx>
          <w:tblCellMar>
            <w:top w:w="0" w:type="dxa"/>
            <w:bottom w:w="0" w:type="dxa"/>
          </w:tblCellMar>
        </w:tblPrEx>
        <w:tc>
          <w:tcPr>
            <w:tcW w:w="200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b/>
                <w:bCs/>
                <w:sz w:val="28"/>
                <w:szCs w:val="28"/>
                <w:u w:color="4E103A"/>
              </w:rPr>
            </w:pPr>
            <w:r>
              <w:rPr>
                <w:rFonts w:ascii="Arial" w:hAnsi="Arial" w:cs="Arial"/>
                <w:b/>
                <w:bCs/>
                <w:sz w:val="28"/>
                <w:szCs w:val="28"/>
                <w:u w:color="4E103A"/>
              </w:rPr>
              <w:t xml:space="preserve">Prepare: </w:t>
            </w:r>
            <w:r>
              <w:rPr>
                <w:rFonts w:ascii="Arial" w:hAnsi="Arial" w:cs="Arial"/>
                <w:sz w:val="28"/>
                <w:szCs w:val="28"/>
                <w:u w:color="4E103A"/>
              </w:rPr>
              <w:t xml:space="preserve">Start by reviewing </w:t>
            </w:r>
            <w:hyperlink r:id="rId7" w:history="1">
              <w:r>
                <w:rPr>
                  <w:rFonts w:ascii="Arial" w:hAnsi="Arial" w:cs="Arial"/>
                  <w:color w:val="4E103A"/>
                  <w:sz w:val="28"/>
                  <w:szCs w:val="28"/>
                  <w:u w:val="single" w:color="4E103A"/>
                </w:rPr>
                <w:t>General Education Curriculum</w:t>
              </w:r>
            </w:hyperlink>
            <w:r>
              <w:rPr>
                <w:rFonts w:ascii="Arial" w:hAnsi="Arial" w:cs="Arial"/>
                <w:sz w:val="28"/>
                <w:szCs w:val="28"/>
                <w:u w:color="4E103A"/>
              </w:rPr>
              <w:t xml:space="preserve"> found in “Section Five: General Academic Information and Policies” in the </w:t>
            </w:r>
            <w:hyperlink r:id="rId8" w:history="1">
              <w:r>
                <w:rPr>
                  <w:rFonts w:ascii="Arial" w:hAnsi="Arial" w:cs="Arial"/>
                  <w:color w:val="4E103A"/>
                  <w:sz w:val="28"/>
                  <w:szCs w:val="28"/>
                  <w:u w:val="single" w:color="4E103A"/>
                </w:rPr>
                <w:t>Ashford University Academic Catalog</w:t>
              </w:r>
            </w:hyperlink>
            <w:r>
              <w:rPr>
                <w:rFonts w:ascii="Arial" w:hAnsi="Arial" w:cs="Arial"/>
                <w:sz w:val="28"/>
                <w:szCs w:val="28"/>
                <w:u w:color="4E103A"/>
              </w:rPr>
              <w:t>, which addresses the core competencies that the general education courses must cover: Applied Ethics, Communication, Information Technology, Critical Thinking, and Quantitative Reasoning.</w:t>
            </w:r>
          </w:p>
        </w:tc>
        <w:tc>
          <w:tcPr>
            <w:tcW w:w="172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AC34E4">
        <w:tblPrEx>
          <w:tblBorders>
            <w:top w:val="none" w:sz="0" w:space="0" w:color="auto"/>
          </w:tblBorders>
          <w:tblCellMar>
            <w:top w:w="0" w:type="dxa"/>
            <w:bottom w:w="0" w:type="dxa"/>
          </w:tblCellMar>
        </w:tblPrEx>
        <w:tc>
          <w:tcPr>
            <w:tcW w:w="200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b/>
                <w:bCs/>
                <w:sz w:val="28"/>
                <w:szCs w:val="28"/>
                <w:u w:color="4E103A"/>
              </w:rPr>
            </w:pPr>
            <w:r>
              <w:rPr>
                <w:rFonts w:ascii="Arial" w:hAnsi="Arial" w:cs="Arial"/>
                <w:b/>
                <w:bCs/>
                <w:sz w:val="28"/>
                <w:szCs w:val="28"/>
                <w:u w:color="4E103A"/>
              </w:rPr>
              <w:t xml:space="preserve">Reflect: </w:t>
            </w:r>
            <w:r>
              <w:rPr>
                <w:rFonts w:ascii="Arial" w:hAnsi="Arial" w:cs="Arial"/>
                <w:sz w:val="28"/>
                <w:szCs w:val="28"/>
                <w:u w:color="4E103A"/>
              </w:rPr>
              <w:t>Think about the core competencies as previously mentioned and ponder on your time taking general education courses. Reflect on the specific courses not associated with your college major and determine the level of new information you have acquired that relates to the core competencies.</w:t>
            </w:r>
          </w:p>
        </w:tc>
        <w:tc>
          <w:tcPr>
            <w:tcW w:w="172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AC34E4">
        <w:tblPrEx>
          <w:tblBorders>
            <w:top w:val="none" w:sz="0" w:space="0" w:color="auto"/>
          </w:tblBorders>
          <w:tblCellMar>
            <w:top w:w="0" w:type="dxa"/>
            <w:bottom w:w="0" w:type="dxa"/>
          </w:tblCellMar>
        </w:tblPrEx>
        <w:tc>
          <w:tcPr>
            <w:tcW w:w="200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b/>
                <w:bCs/>
                <w:sz w:val="28"/>
                <w:szCs w:val="28"/>
                <w:u w:color="4E103A"/>
              </w:rPr>
              <w:t xml:space="preserve">Write: </w:t>
            </w:r>
            <w:r>
              <w:rPr>
                <w:rFonts w:ascii="Arial" w:hAnsi="Arial" w:cs="Arial"/>
                <w:sz w:val="28"/>
                <w:szCs w:val="28"/>
                <w:u w:color="4E103A"/>
              </w:rPr>
              <w:t>Explain what you have learned about the principles guiding general education from this course and the courses you have taken in the past:</w:t>
            </w:r>
          </w:p>
          <w:p w:rsidR="00AC34E4" w:rsidRDefault="00AC34E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What are the most important concepts you have learned (a) from this course and (b) throughout your time as a university student?</w:t>
            </w:r>
          </w:p>
          <w:p w:rsidR="00AC34E4" w:rsidRDefault="00AC34E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Why do you think obtaining knowledge from general education courses is important?</w:t>
            </w:r>
          </w:p>
          <w:p w:rsidR="00AC34E4" w:rsidRDefault="00AC34E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What are your plans for putting your education to use within your community?</w:t>
            </w:r>
          </w:p>
          <w:p w:rsidR="00AC34E4" w:rsidRDefault="00AC34E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How might your newly acquired knowledge and skills shape your personal and professional development?</w:t>
            </w:r>
          </w:p>
          <w:p w:rsidR="00AC34E4" w:rsidRDefault="00AC34E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Support your claims with examples from required material(s) or at least two scholarly sources, and properly cite any references.</w:t>
            </w:r>
          </w:p>
          <w:p w:rsidR="00AC34E4" w:rsidRDefault="00AC34E4">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Your initial post should be at least 250 words in length.</w:t>
            </w:r>
          </w:p>
        </w:tc>
        <w:tc>
          <w:tcPr>
            <w:tcW w:w="172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AC34E4">
        <w:tblPrEx>
          <w:tblCellMar>
            <w:top w:w="0" w:type="dxa"/>
            <w:bottom w:w="0" w:type="dxa"/>
          </w:tblCellMar>
        </w:tblPrEx>
        <w:tc>
          <w:tcPr>
            <w:tcW w:w="200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b/>
                <w:bCs/>
                <w:sz w:val="28"/>
                <w:szCs w:val="28"/>
                <w:u w:color="4E103A"/>
              </w:rPr>
              <w:t>Respond to Peers</w:t>
            </w:r>
            <w:r>
              <w:rPr>
                <w:rFonts w:ascii="Arial" w:hAnsi="Arial" w:cs="Arial"/>
                <w:sz w:val="28"/>
                <w:szCs w:val="28"/>
                <w:u w:color="4E103A"/>
              </w:rPr>
              <w:t>: Review your classmates’ posts, and respond to at least two of your peers by Day 7. In your responses, provided feedback on the value of general education and comment on your own unique experiences in relation to the more memorable lessons learned through general education courses. Each participation post should be a minimum of 75 words.</w:t>
            </w:r>
          </w:p>
        </w:tc>
        <w:tc>
          <w:tcPr>
            <w:tcW w:w="1720" w:type="dxa"/>
            <w:tcMar>
              <w:top w:w="300" w:type="nil"/>
              <w:left w:w="100" w:type="nil"/>
              <w:bottom w:w="100" w:type="nil"/>
              <w:right w:w="100" w:type="nil"/>
            </w:tcMar>
          </w:tcPr>
          <w:p w:rsidR="00AC34E4" w:rsidRDefault="00AC34E4">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bl>
    <w:p w:rsidR="00AF3C5E" w:rsidRDefault="00AF3C5E">
      <w:bookmarkStart w:id="0" w:name="_GoBack"/>
      <w:bookmarkEnd w:id="0"/>
    </w:p>
    <w:sectPr w:rsidR="00AF3C5E" w:rsidSect="00E670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E4"/>
    <w:rsid w:val="00AC34E4"/>
    <w:rsid w:val="00AF3C5E"/>
    <w:rsid w:val="00E6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15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ashford.edu/general-academic-information-policies.htm#catalog11207" TargetMode="External"/><Relationship Id="rId8" Type="http://schemas.openxmlformats.org/officeDocument/2006/relationships/hyperlink" Target="http://www.ashford.edu/catalog-pdf-download.htm" TargetMode="Externa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1925</Characters>
  <Application>Microsoft Macintosh Word</Application>
  <DocSecurity>0</DocSecurity>
  <Lines>16</Lines>
  <Paragraphs>4</Paragraphs>
  <ScaleCrop>false</ScaleCrop>
  <Company>beth</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Baldwin</dc:creator>
  <cp:keywords/>
  <dc:description/>
  <cp:lastModifiedBy>Bethany Baldwin</cp:lastModifiedBy>
  <cp:revision>1</cp:revision>
  <dcterms:created xsi:type="dcterms:W3CDTF">2015-11-17T21:19:00Z</dcterms:created>
  <dcterms:modified xsi:type="dcterms:W3CDTF">2015-11-17T21:20:00Z</dcterms:modified>
</cp:coreProperties>
</file>