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FA" w:rsidRDefault="009E63FA" w:rsidP="009E63FA">
      <w:pPr>
        <w:pStyle w:val="pro1"/>
        <w:spacing w:before="84" w:beforeAutospacing="0" w:after="0" w:afterAutospacing="0"/>
        <w:ind w:hanging="40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21. The partnership agreement of Jones, King, and Lane provides for the annual allocation of the business’s profit or loss in the following sequence:</w:t>
      </w:r>
    </w:p>
    <w:p w:rsidR="009E63FA" w:rsidRDefault="009E63FA" w:rsidP="009E63FA">
      <w:pPr>
        <w:pStyle w:val="text1"/>
        <w:spacing w:before="240" w:beforeAutospacing="0" w:after="24" w:afterAutospacing="0"/>
        <w:jc w:val="both"/>
        <w:rPr>
          <w:rFonts w:cs="Times New Roman"/>
          <w:color w:val="000000"/>
          <w:sz w:val="22"/>
          <w:szCs w:val="22"/>
        </w:rPr>
      </w:pPr>
      <w:r>
        <w:rPr>
          <w:rStyle w:val="bg"/>
          <w:rFonts w:cs="Times New Roman"/>
          <w:b/>
          <w:bCs/>
          <w:color w:val="FFFFFF"/>
          <w:sz w:val="22"/>
          <w:szCs w:val="22"/>
          <w:shd w:val="clear" w:color="auto" w:fill="00AEEF"/>
        </w:rPr>
        <w:t>LO 14-6</w:t>
      </w:r>
    </w:p>
    <w:p w:rsidR="009E63FA" w:rsidRDefault="009E63FA" w:rsidP="009E63FA">
      <w:pPr>
        <w:pStyle w:val="bull-list1"/>
        <w:spacing w:before="24" w:beforeAutospacing="0" w:after="24" w:afterAutospacing="0"/>
        <w:ind w:left="360" w:hanging="255"/>
        <w:rPr>
          <w:rFonts w:cs="Times New Roman"/>
          <w:color w:val="000000"/>
          <w:sz w:val="22"/>
          <w:szCs w:val="22"/>
        </w:rPr>
      </w:pPr>
      <w:r>
        <w:rPr>
          <w:rStyle w:val="bull"/>
          <w:rFonts w:cs="Times New Roman"/>
          <w:b/>
          <w:bCs/>
          <w:color w:val="7BC8F4"/>
          <w:sz w:val="22"/>
          <w:szCs w:val="22"/>
        </w:rPr>
        <w:t>•</w:t>
      </w:r>
      <w:r>
        <w:rPr>
          <w:rStyle w:val="apple-converted-space"/>
          <w:rFonts w:cs="Times New Roman"/>
          <w:color w:val="000000"/>
          <w:sz w:val="22"/>
          <w:szCs w:val="22"/>
        </w:rPr>
        <w:t> </w:t>
      </w:r>
      <w:r>
        <w:rPr>
          <w:rFonts w:cs="Times New Roman"/>
          <w:color w:val="000000"/>
          <w:sz w:val="22"/>
          <w:szCs w:val="22"/>
        </w:rPr>
        <w:t>Jones, the managing partner, receives a bonus equal to 20 percent of the business’s profit.</w:t>
      </w:r>
    </w:p>
    <w:p w:rsidR="009E63FA" w:rsidRDefault="009E63FA" w:rsidP="009E63FA">
      <w:pPr>
        <w:pStyle w:val="bull-list1"/>
        <w:spacing w:before="24" w:beforeAutospacing="0" w:after="24" w:afterAutospacing="0"/>
        <w:ind w:left="360" w:hanging="255"/>
        <w:rPr>
          <w:rFonts w:cs="Times New Roman"/>
          <w:color w:val="000000"/>
          <w:sz w:val="22"/>
          <w:szCs w:val="22"/>
        </w:rPr>
      </w:pPr>
      <w:r>
        <w:rPr>
          <w:rStyle w:val="bull"/>
          <w:rFonts w:cs="Times New Roman"/>
          <w:b/>
          <w:bCs/>
          <w:color w:val="7BC8F4"/>
          <w:sz w:val="22"/>
          <w:szCs w:val="22"/>
        </w:rPr>
        <w:t>•</w:t>
      </w:r>
      <w:r>
        <w:rPr>
          <w:rStyle w:val="apple-converted-space"/>
          <w:rFonts w:cs="Times New Roman"/>
          <w:color w:val="000000"/>
          <w:sz w:val="22"/>
          <w:szCs w:val="22"/>
        </w:rPr>
        <w:t> </w:t>
      </w:r>
      <w:r>
        <w:rPr>
          <w:rFonts w:cs="Times New Roman"/>
          <w:color w:val="000000"/>
          <w:sz w:val="22"/>
          <w:szCs w:val="22"/>
        </w:rPr>
        <w:t>Each partner receives 15 percent interest on average capital investment.</w:t>
      </w:r>
    </w:p>
    <w:p w:rsidR="009E63FA" w:rsidRDefault="009E63FA" w:rsidP="009E63FA">
      <w:pPr>
        <w:pStyle w:val="bull-list1"/>
        <w:spacing w:before="24" w:beforeAutospacing="0" w:after="24" w:afterAutospacing="0"/>
        <w:ind w:left="360" w:hanging="255"/>
        <w:rPr>
          <w:rFonts w:cs="Times New Roman"/>
          <w:color w:val="000000"/>
          <w:sz w:val="22"/>
          <w:szCs w:val="22"/>
        </w:rPr>
      </w:pPr>
      <w:r>
        <w:rPr>
          <w:rStyle w:val="bull"/>
          <w:rFonts w:cs="Times New Roman"/>
          <w:b/>
          <w:bCs/>
          <w:color w:val="7BC8F4"/>
          <w:sz w:val="22"/>
          <w:szCs w:val="22"/>
        </w:rPr>
        <w:t>•</w:t>
      </w:r>
      <w:r>
        <w:rPr>
          <w:rStyle w:val="apple-converted-space"/>
          <w:rFonts w:cs="Times New Roman"/>
          <w:color w:val="000000"/>
          <w:sz w:val="22"/>
          <w:szCs w:val="22"/>
        </w:rPr>
        <w:t> </w:t>
      </w:r>
      <w:r>
        <w:rPr>
          <w:rFonts w:cs="Times New Roman"/>
          <w:color w:val="000000"/>
          <w:sz w:val="22"/>
          <w:szCs w:val="22"/>
        </w:rPr>
        <w:t>Any residual profit or loss is divided equally.</w:t>
      </w:r>
    </w:p>
    <w:p w:rsidR="009E63FA" w:rsidRDefault="009E63FA" w:rsidP="009E63FA">
      <w:pPr>
        <w:pStyle w:val="texta"/>
        <w:spacing w:before="36" w:beforeAutospacing="0" w:after="36" w:afterAutospacing="0"/>
        <w:ind w:left="42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The average capital investments for 2015 were as follows:</w:t>
      </w:r>
    </w:p>
    <w:p w:rsidR="009E63FA" w:rsidRDefault="009E63FA" w:rsidP="009E63FA">
      <w:pPr>
        <w:pStyle w:val="image"/>
        <w:spacing w:before="240" w:beforeAutospacing="0" w:after="120" w:afterAutospacing="0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noProof/>
          <w:color w:val="000000"/>
          <w:sz w:val="22"/>
          <w:szCs w:val="22"/>
        </w:rPr>
      </w:r>
      <w:r>
        <w:rPr>
          <w:rFonts w:cs="Times New Roman"/>
          <w:noProof/>
          <w:color w:val="000000"/>
          <w:sz w:val="22"/>
          <w:szCs w:val="22"/>
        </w:rPr>
        <w:pict>
          <v:rect id="AutoShape 4" o:spid="_x0000_s1028" alt="Description: mages" style="width:24pt;height:24pt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m8MRbkCAADFBQAADgAAAGRycy9lMm9Eb2MueG1srFRbb9sgFH6ftP+AeHd9KbnYqlN1STxN6rZK&#10;3X4AMdhGs8EDEqeb9t93wEmatC/TNh7Q4Rz4zu3j3NzuuxbtuDZCyRzHVxFGXJaKCVnn+OuXIphj&#10;ZCyVjLZK8hw/cYNvF2/f3Ax9xhPVqJZxjQBEmmzoc9xY22dhaMqGd9RcqZ5LMFZKd9TCUdch03QA&#10;9K4NkyiahoPSrNeq5MaAdjUa8cLjVxUv7eeqMtyiNscQm/W79vvG7eHihma1pn0jykMY9C+i6KiQ&#10;4PQEtaKWoq0Wr6A6UWplVGWvStWFqqpEyX0OkE0cvcjmsaE997lAcUx/KpP5f7Dlp92DRoLleIqR&#10;pB206G5rlfeMCEaMmxLK1dEaGgfFGnqTwZvH/kG7dE1/r8pvBkm1bKis+Z3poeRABAA7qrRWQ8Mp&#10;g6hjBxFeYLiDATS0GT4qBu4puPel3Fe6cz6gSGjvO/Z06hjfW1SC8joi8wj6WoLpIDsPNDs+7rWx&#10;77nqkBNyrCE6D05398aOV49XnC+pCtG2oKdZKy8UgDlqwDU8dTYXhO/xzzRK1/P1nAQkma4DEjEW&#10;3BVLEkyLeDZZXa+Wy1X8y/mNSdYIxrh0bo58i8mf9fPA/JEpJ8YZ1Qrm4FxIRtebZavRjgLfC798&#10;ycHyfC28DMPXC3J5kVKckOhdkgbFdD4LSEUmQTqL5kEUp+/SaURSsiouU7oXkv97SmjIcTpJJr5L&#10;Z0G/yC3y63VuNOuEhYnSii7HQA1Y7hLNHAPXknnZUtGO8lkpXPjPpYB2Hxvt+eooOrJ/o9gT0FUr&#10;oBMwD2YfCI3SPzAaYI7k2HzfUs0xaj9IoHwaE+IGjz+QySyBgz63bM4tVJYAlWOL0Sgu7Tistr0W&#10;dQOeYl8YqdwvrYSnsPtCY1SHzwWzwmdymGtuGJ2f/a3n6bv4D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DkmcPA+wAAAOEBAAATAAAAAAAAAAAA&#10;AAAAAAAAAABbQ29udGVudF9UeXBlc10ueG1sUEsBAi0AFAAGAAgAAAAhACOyauHXAAAAlAEAAAsA&#10;AAAAAAAAAAAAAAAALAEAAF9yZWxzLy5yZWxzUEsBAi0AFAAGAAgAAAAhANJvDEW5AgAAxQUAAA4A&#10;AAAAAAAAAAAAAAAALAIAAGRycy9lMm9Eb2MueG1sUEsBAi0AFAAGAAgAAAAhAEyg6SzYAAAAAwEA&#10;AA8AAAAAAAAAAAAAAAAAEQUAAGRycy9kb3ducmV2LnhtbFBLBQYAAAAABAAEAPMAAAAWBgAAAAA=&#10;" filled="f" stroked="f">
            <o:lock v:ext="edit" aspectratio="t"/>
            <w10:wrap type="none"/>
            <w10:anchorlock/>
          </v:rect>
        </w:pict>
      </w:r>
    </w:p>
    <w:p w:rsidR="009E63FA" w:rsidRDefault="009E63FA" w:rsidP="009E63FA">
      <w:pPr>
        <w:pStyle w:val="texta"/>
        <w:spacing w:before="36" w:beforeAutospacing="0" w:after="36" w:afterAutospacing="0"/>
        <w:ind w:left="42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How much of the $90,000 partnership profit for 2015 should be assigned to each partner?</w:t>
      </w:r>
    </w:p>
    <w:p w:rsidR="009E63FA" w:rsidRDefault="009E63FA" w:rsidP="009E63FA">
      <w:pPr>
        <w:pStyle w:val="pro1"/>
        <w:spacing w:before="84" w:beforeAutospacing="0" w:after="0" w:afterAutospacing="0"/>
        <w:ind w:hanging="40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22. </w:t>
      </w:r>
      <w:proofErr w:type="spellStart"/>
      <w:r>
        <w:rPr>
          <w:rFonts w:cs="Times New Roman"/>
          <w:color w:val="000000"/>
          <w:sz w:val="22"/>
          <w:szCs w:val="22"/>
        </w:rPr>
        <w:t>Purkerson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Smith, and </w:t>
      </w:r>
      <w:proofErr w:type="spellStart"/>
      <w:r>
        <w:rPr>
          <w:rFonts w:cs="Times New Roman"/>
          <w:color w:val="000000"/>
          <w:sz w:val="22"/>
          <w:szCs w:val="22"/>
        </w:rPr>
        <w:t>Traynor</w:t>
      </w:r>
      <w:proofErr w:type="spellEnd"/>
      <w:r>
        <w:rPr>
          <w:rFonts w:cs="Times New Roman"/>
          <w:color w:val="000000"/>
          <w:sz w:val="22"/>
          <w:szCs w:val="22"/>
        </w:rPr>
        <w:t xml:space="preserve"> have operated a bookstore for a number of years as a partnership. At the beginning of 2015, capital balances were as follows:</w:t>
      </w:r>
    </w:p>
    <w:p w:rsidR="009E63FA" w:rsidRDefault="009E63FA" w:rsidP="009E63FA">
      <w:pPr>
        <w:pStyle w:val="text1"/>
        <w:spacing w:before="240" w:beforeAutospacing="0" w:after="24" w:afterAutospacing="0"/>
        <w:jc w:val="both"/>
        <w:rPr>
          <w:rFonts w:cs="Times New Roman"/>
          <w:color w:val="000000"/>
          <w:sz w:val="22"/>
          <w:szCs w:val="22"/>
        </w:rPr>
      </w:pPr>
      <w:r>
        <w:rPr>
          <w:rStyle w:val="bg"/>
          <w:rFonts w:cs="Times New Roman"/>
          <w:b/>
          <w:bCs/>
          <w:color w:val="FFFFFF"/>
          <w:sz w:val="22"/>
          <w:szCs w:val="22"/>
          <w:shd w:val="clear" w:color="auto" w:fill="00AEEF"/>
        </w:rPr>
        <w:t>LO 14-4, 14-5, 14-6</w:t>
      </w:r>
    </w:p>
    <w:p w:rsidR="009E63FA" w:rsidRDefault="009E63FA" w:rsidP="009E63FA">
      <w:pPr>
        <w:pStyle w:val="image"/>
        <w:spacing w:before="240" w:beforeAutospacing="0" w:after="120" w:afterAutospacing="0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noProof/>
          <w:color w:val="000000"/>
          <w:sz w:val="22"/>
          <w:szCs w:val="22"/>
        </w:rPr>
      </w:r>
      <w:r>
        <w:rPr>
          <w:rFonts w:cs="Times New Roman"/>
          <w:noProof/>
          <w:color w:val="000000"/>
          <w:sz w:val="22"/>
          <w:szCs w:val="22"/>
        </w:rPr>
        <w:pict>
          <v:rect id="AutoShape 5" o:spid="_x0000_s1027" alt="Description: mages" style="width:24pt;height:24pt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kyV7kCAADFBQAADgAAAGRycy9lMm9Eb2MueG1srFRbb9sgFH6ftP+AeHd9KbnYqlN1STxN6rZK&#10;3X4AMdhGs8EDEqeb9t93wEmatC/TNh7Q4Rz4zu3j3NzuuxbtuDZCyRzHVxFGXJaKCVnn+OuXIphj&#10;ZCyVjLZK8hw/cYNvF2/f3Ax9xhPVqJZxjQBEmmzoc9xY22dhaMqGd9RcqZ5LMFZKd9TCUdch03QA&#10;9K4NkyiahoPSrNeq5MaAdjUa8cLjVxUv7eeqMtyiNscQm/W79vvG7eHihma1pn0jykMY9C+i6KiQ&#10;4PQEtaKWoq0Wr6A6UWplVGWvStWFqqpEyX0OkE0cvcjmsaE997lAcUx/KpP5f7Dlp92DRoLleIKR&#10;pB206G5rlfeMQMW4KaFcHa2hcVCsoTcZvHnsH7RL1/T3qvxmkFTLhsqa35keSg5EALCjSms1NJwy&#10;iDp2EOEFhjsYQEOb4aNi4J6Ce1/KfaU75wOKhPa+Y0+njvG9RSUoryMyj6CvJZgOsvNAs+PjXhv7&#10;nqsOOSHHGqLz4HR3b+x49XjF+ZKqEG0Lepq18kIBmKMGXMNTZ3NB+B7/TKN0PV/PSUCS6TogEWPB&#10;XbEkwbSIZ5PV9Wq5XMW/nN+YZI1gjEvn5si3mPxZPw/MH5lyYpxRrWAOzoVkdL1ZthrtKPC98MuX&#10;HCzP18LLMHy9IJcXKcUJid4laVBM57OAVGQSpLNoHkRx+i6dRiQlq+IypXsh+b+nhIYcp5Nk4rt0&#10;FvSL3CK/XudGs05YmCit6HIM1IDlLtHMMXAtmZctFe0on5XChf9cCmj3sdGer46iI/s3ij0BXbUC&#10;OgHzYPaB0Cj9A6MB5kiOzfct1Ryj9oMEyqcxIW7w+AOZzBI46HPL5txCZQlQObYYjeLSjsNq22tR&#10;N+Ap9oWRyv3SSngKuy80RnX4XDArfCaHueaG0fnZ33qevovf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DkmcPA+wAAAOEBAAATAAAAAAAAAAAA&#10;AAAAAAAAAABbQ29udGVudF9UeXBlc10ueG1sUEsBAi0AFAAGAAgAAAAhACOyauHXAAAAlAEAAAsA&#10;AAAAAAAAAAAAAAAALAEAAF9yZWxzLy5yZWxzUEsBAi0AFAAGAAgAAAAhAIQpMle5AgAAxQUAAA4A&#10;AAAAAAAAAAAAAAAALAIAAGRycy9lMm9Eb2MueG1sUEsBAi0AFAAGAAgAAAAhAEyg6SzYAAAAAwEA&#10;AA8AAAAAAAAAAAAAAAAAEQUAAGRycy9kb3ducmV2LnhtbFBLBQYAAAAABAAEAPMAAAAWBgAAAAA=&#10;" filled="f" stroked="f">
            <o:lock v:ext="edit" aspectratio="t"/>
            <w10:wrap type="none"/>
            <w10:anchorlock/>
          </v:rect>
        </w:pict>
      </w:r>
    </w:p>
    <w:p w:rsidR="009E63FA" w:rsidRDefault="009E63FA" w:rsidP="009E63FA">
      <w:pPr>
        <w:pStyle w:val="texta"/>
        <w:spacing w:before="36" w:beforeAutospacing="0" w:after="36" w:afterAutospacing="0"/>
        <w:ind w:left="42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Due to a cash shortage, </w:t>
      </w:r>
      <w:proofErr w:type="spellStart"/>
      <w:r>
        <w:rPr>
          <w:rFonts w:cs="Times New Roman"/>
          <w:color w:val="000000"/>
          <w:sz w:val="22"/>
          <w:szCs w:val="22"/>
        </w:rPr>
        <w:t>Purkerson</w:t>
      </w:r>
      <w:proofErr w:type="spellEnd"/>
      <w:r>
        <w:rPr>
          <w:rFonts w:cs="Times New Roman"/>
          <w:color w:val="000000"/>
          <w:sz w:val="22"/>
          <w:szCs w:val="22"/>
        </w:rPr>
        <w:t xml:space="preserve"> invests an additional $8,000 in the business on April 1, 2015.</w:t>
      </w:r>
    </w:p>
    <w:p w:rsidR="009E63FA" w:rsidRDefault="009E63FA" w:rsidP="009E63FA">
      <w:pPr>
        <w:pStyle w:val="textindenta"/>
        <w:spacing w:before="24" w:beforeAutospacing="0" w:after="24" w:afterAutospacing="0"/>
        <w:ind w:left="480" w:firstLine="36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Each partner is allowed to withdraw $1,000 cash each month.</w:t>
      </w:r>
    </w:p>
    <w:p w:rsidR="009E63FA" w:rsidRDefault="009E63FA" w:rsidP="009E63FA">
      <w:pPr>
        <w:pStyle w:val="textindenta"/>
        <w:spacing w:before="24" w:beforeAutospacing="0" w:after="24" w:afterAutospacing="0"/>
        <w:ind w:left="480" w:firstLine="36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The partners have used the same method of allocating profits and losses since the business’s inception:</w:t>
      </w:r>
    </w:p>
    <w:p w:rsidR="009E63FA" w:rsidRDefault="009E63FA" w:rsidP="009E63FA">
      <w:pPr>
        <w:pStyle w:val="bull-list1"/>
        <w:spacing w:before="24" w:beforeAutospacing="0" w:after="24" w:afterAutospacing="0"/>
        <w:ind w:left="360" w:hanging="255"/>
        <w:rPr>
          <w:rFonts w:cs="Times New Roman"/>
          <w:color w:val="000000"/>
          <w:sz w:val="22"/>
          <w:szCs w:val="22"/>
        </w:rPr>
      </w:pPr>
      <w:r>
        <w:rPr>
          <w:rStyle w:val="bull"/>
          <w:rFonts w:cs="Times New Roman"/>
          <w:b/>
          <w:bCs/>
          <w:color w:val="7BC8F4"/>
          <w:sz w:val="22"/>
          <w:szCs w:val="22"/>
        </w:rPr>
        <w:t>•</w:t>
      </w:r>
      <w:r>
        <w:rPr>
          <w:rStyle w:val="apple-converted-space"/>
          <w:rFonts w:cs="Times New Roman"/>
          <w:color w:val="000000"/>
          <w:sz w:val="22"/>
          <w:szCs w:val="22"/>
        </w:rPr>
        <w:t> </w:t>
      </w:r>
      <w:r>
        <w:rPr>
          <w:rFonts w:cs="Times New Roman"/>
          <w:color w:val="000000"/>
          <w:sz w:val="22"/>
          <w:szCs w:val="22"/>
        </w:rPr>
        <w:t xml:space="preserve">Each partner is given the following compensation allowance for work done in the business: </w:t>
      </w:r>
      <w:proofErr w:type="spellStart"/>
      <w:r>
        <w:rPr>
          <w:rFonts w:cs="Times New Roman"/>
          <w:color w:val="000000"/>
          <w:sz w:val="22"/>
          <w:szCs w:val="22"/>
        </w:rPr>
        <w:t>Purkerson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$18,000; Smith, $25,000; and </w:t>
      </w:r>
      <w:proofErr w:type="spellStart"/>
      <w:r>
        <w:rPr>
          <w:rFonts w:cs="Times New Roman"/>
          <w:color w:val="000000"/>
          <w:sz w:val="22"/>
          <w:szCs w:val="22"/>
        </w:rPr>
        <w:t>Traynor</w:t>
      </w:r>
      <w:proofErr w:type="spellEnd"/>
      <w:r>
        <w:rPr>
          <w:rFonts w:cs="Times New Roman"/>
          <w:color w:val="000000"/>
          <w:sz w:val="22"/>
          <w:szCs w:val="22"/>
        </w:rPr>
        <w:t>, $8,000.</w:t>
      </w:r>
    </w:p>
    <w:p w:rsidR="009E63FA" w:rsidRDefault="009E63FA" w:rsidP="009E63FA">
      <w:pPr>
        <w:pStyle w:val="bull-list1"/>
        <w:spacing w:before="24" w:beforeAutospacing="0" w:after="24" w:afterAutospacing="0"/>
        <w:ind w:left="360" w:hanging="255"/>
        <w:rPr>
          <w:rFonts w:cs="Times New Roman"/>
          <w:color w:val="000000"/>
          <w:sz w:val="22"/>
          <w:szCs w:val="22"/>
        </w:rPr>
      </w:pPr>
      <w:r>
        <w:rPr>
          <w:rStyle w:val="bull"/>
          <w:rFonts w:cs="Times New Roman"/>
          <w:b/>
          <w:bCs/>
          <w:color w:val="7BC8F4"/>
          <w:sz w:val="22"/>
          <w:szCs w:val="22"/>
        </w:rPr>
        <w:t>•</w:t>
      </w:r>
      <w:r>
        <w:rPr>
          <w:rStyle w:val="apple-converted-space"/>
          <w:rFonts w:cs="Times New Roman"/>
          <w:color w:val="000000"/>
          <w:sz w:val="22"/>
          <w:szCs w:val="22"/>
        </w:rPr>
        <w:t> </w:t>
      </w:r>
      <w:r>
        <w:rPr>
          <w:rFonts w:cs="Times New Roman"/>
          <w:color w:val="000000"/>
          <w:sz w:val="22"/>
          <w:szCs w:val="22"/>
        </w:rPr>
        <w:t>Each partner is credited with interest equal to 10 percent of the average monthly capital balance for the year without regard for normal drawings.</w:t>
      </w:r>
    </w:p>
    <w:p w:rsidR="009E63FA" w:rsidRDefault="009E63FA" w:rsidP="009E63FA">
      <w:pPr>
        <w:pStyle w:val="bull-list1"/>
        <w:spacing w:before="24" w:beforeAutospacing="0" w:after="24" w:afterAutospacing="0"/>
        <w:ind w:left="360" w:hanging="255"/>
        <w:rPr>
          <w:rFonts w:cs="Times New Roman"/>
          <w:color w:val="000000"/>
          <w:sz w:val="22"/>
          <w:szCs w:val="22"/>
        </w:rPr>
      </w:pPr>
      <w:r>
        <w:rPr>
          <w:rStyle w:val="bull"/>
          <w:rFonts w:cs="Times New Roman"/>
          <w:b/>
          <w:bCs/>
          <w:color w:val="7BC8F4"/>
          <w:sz w:val="22"/>
          <w:szCs w:val="22"/>
        </w:rPr>
        <w:t>•</w:t>
      </w:r>
      <w:r>
        <w:rPr>
          <w:rStyle w:val="apple-converted-space"/>
          <w:rFonts w:cs="Times New Roman"/>
          <w:color w:val="000000"/>
          <w:sz w:val="22"/>
          <w:szCs w:val="22"/>
        </w:rPr>
        <w:t> </w:t>
      </w:r>
      <w:r>
        <w:rPr>
          <w:rFonts w:cs="Times New Roman"/>
          <w:color w:val="000000"/>
          <w:sz w:val="22"/>
          <w:szCs w:val="22"/>
        </w:rPr>
        <w:t xml:space="preserve">Any remaining profit or loss is allocated 4:2:4 to </w:t>
      </w:r>
      <w:proofErr w:type="spellStart"/>
      <w:r>
        <w:rPr>
          <w:rFonts w:cs="Times New Roman"/>
          <w:color w:val="000000"/>
          <w:sz w:val="22"/>
          <w:szCs w:val="22"/>
        </w:rPr>
        <w:t>Purkerson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Smith, and </w:t>
      </w:r>
      <w:proofErr w:type="spellStart"/>
      <w:r>
        <w:rPr>
          <w:rFonts w:cs="Times New Roman"/>
          <w:color w:val="000000"/>
          <w:sz w:val="22"/>
          <w:szCs w:val="22"/>
        </w:rPr>
        <w:t>Traynor</w:t>
      </w:r>
      <w:proofErr w:type="spellEnd"/>
      <w:r>
        <w:rPr>
          <w:rFonts w:cs="Times New Roman"/>
          <w:color w:val="000000"/>
          <w:sz w:val="22"/>
          <w:szCs w:val="22"/>
        </w:rPr>
        <w:t>, respectively. The net income for 2015 is $23,600. Each partner withdraws the allotted amount each month.</w:t>
      </w:r>
    </w:p>
    <w:p w:rsidR="009E63FA" w:rsidRDefault="009E63FA" w:rsidP="009E63FA">
      <w:pPr>
        <w:pStyle w:val="texta"/>
        <w:spacing w:before="36" w:beforeAutospacing="0" w:after="36" w:afterAutospacing="0"/>
        <w:ind w:left="42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What are the ending capital balances for 2015?</w:t>
      </w:r>
    </w:p>
    <w:p w:rsidR="009E63FA" w:rsidRDefault="009E63FA" w:rsidP="009E63FA">
      <w:pPr>
        <w:pStyle w:val="texta"/>
        <w:spacing w:before="36" w:beforeAutospacing="0" w:after="36" w:afterAutospacing="0"/>
        <w:ind w:left="420"/>
        <w:jc w:val="both"/>
        <w:rPr>
          <w:rFonts w:cs="Times New Roman"/>
          <w:color w:val="000000"/>
          <w:sz w:val="22"/>
          <w:szCs w:val="22"/>
        </w:rPr>
      </w:pPr>
    </w:p>
    <w:p w:rsidR="009E63FA" w:rsidRDefault="009E63FA" w:rsidP="009E63FA">
      <w:pPr>
        <w:pStyle w:val="pro1"/>
        <w:spacing w:before="0" w:beforeAutospacing="0" w:after="0" w:afterAutospacing="0"/>
        <w:ind w:hanging="40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23. On January 1, 2014, the dental partnership of Left, Center, and Right was formed when the partners contributed $20,000, $60,000, and $50,000, respectively. Over the next three years, the business reported net income and (loss) as follows:</w:t>
      </w:r>
    </w:p>
    <w:p w:rsidR="009E63FA" w:rsidRDefault="009E63FA" w:rsidP="009E63FA">
      <w:pPr>
        <w:pStyle w:val="text1"/>
        <w:spacing w:before="240" w:beforeAutospacing="0" w:after="24" w:afterAutospacing="0"/>
        <w:jc w:val="both"/>
        <w:rPr>
          <w:rFonts w:cs="Times New Roman"/>
          <w:color w:val="000000"/>
          <w:sz w:val="22"/>
          <w:szCs w:val="22"/>
        </w:rPr>
      </w:pPr>
      <w:r>
        <w:rPr>
          <w:rStyle w:val="bg"/>
          <w:rFonts w:cs="Times New Roman"/>
          <w:b/>
          <w:bCs/>
          <w:color w:val="FFFFFF"/>
          <w:sz w:val="22"/>
          <w:szCs w:val="22"/>
          <w:shd w:val="clear" w:color="auto" w:fill="00AEEF"/>
        </w:rPr>
        <w:t>LO 14-4, 14-5, 14-6</w:t>
      </w:r>
    </w:p>
    <w:p w:rsidR="009E63FA" w:rsidRDefault="009E63FA" w:rsidP="009E63FA">
      <w:pPr>
        <w:pStyle w:val="image"/>
        <w:spacing w:before="240" w:beforeAutospacing="0" w:after="120" w:afterAutospacing="0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noProof/>
          <w:color w:val="000000"/>
          <w:sz w:val="22"/>
          <w:szCs w:val="22"/>
        </w:rPr>
      </w:r>
      <w:r>
        <w:rPr>
          <w:rFonts w:cs="Times New Roman"/>
          <w:noProof/>
          <w:color w:val="000000"/>
          <w:sz w:val="22"/>
          <w:szCs w:val="22"/>
        </w:rPr>
        <w:pict>
          <v:rect id="AutoShape 6" o:spid="_x0000_s1026" alt="Description: mages" style="width:24pt;height:24pt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ARArkCAADFBQAADgAAAGRycy9lMm9Eb2MueG1srFRbb9sgFH6ftP+AeHd9KbnYqlN1STxN6rZK&#10;3X4AMdhGs8EDEqeb9t93wEmatC/TNh7Q4Rz4zu3j3NzuuxbtuDZCyRzHVxFGXJaKCVnn+OuXIphj&#10;ZCyVjLZK8hw/cYNvF2/f3Ax9xhPVqJZxjQBEmmzoc9xY22dhaMqGd9RcqZ5LMFZKd9TCUdch03QA&#10;9K4NkyiahoPSrNeq5MaAdjUa8cLjVxUv7eeqMtyiNscQm/W79vvG7eHihma1pn0jykMY9C+i6KiQ&#10;4PQEtaKWoq0Wr6A6UWplVGWvStWFqqpEyX0OkE0cvcjmsaE997lAcUx/KpP5f7Dlp92DRoLlmGAk&#10;aQctutta5T2jKUaMmxLK1dEaGgfFGnqTwZvH/kG7dE1/r8pvBkm1bKis+Z3poeRABAA7qrRWQ8Mp&#10;g6hjBxFeYLiDATS0GT4qBu4puPel3Fe6cz6gSGjvO/Z06hjfW1SC8joi8wj6WoLpIDsPNDs+7rWx&#10;77nqkBNyrCE6D05398aOV49XnC+pCtG2oKdZKy8UgDlqwDU8dTYXhO/xzzRK1/P1nAQkma4DEjEW&#10;3BVLEkyLeDZZXa+Wy1X8y/mNSdYIxrh0bo58i8mf9fPA/JEpJ8YZ1Qrm4FxIRtebZavRjgLfC798&#10;ycHyfC28DMPXC3J5kVKckOhdkgbFdD4LSEUmQTqL5kEUp+/SaURSsiouU7oXkv97SmjIcTpJJr5L&#10;Z0G/yC3y63VuNOuEhYnSii7HQA1Y7hLNHAPXknnZUtGO8lkpXPjPpYB2Hxvt+eooOrJ/o9gT0FUr&#10;oBMwD2YfCI3SPzAaYI7k2HzfUs0xaj9IoHwaE+IGjz+QySyBgz63bM4tVJYAlWOL0Sgu7Tistr0W&#10;dQOeYl8YqdwvrYSnsPtCY1SHzwWzwmdymGtuGJ2f/a3n6bv4D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DkmcPA+wAAAOEBAAATAAAAAAAAAAAA&#10;AAAAAAAAAABbQ29udGVudF9UeXBlc10ueG1sUEsBAi0AFAAGAAgAAAAhACOyauHXAAAAlAEAAAsA&#10;AAAAAAAAAAAAAAAALAEAAF9yZWxzLy5yZWxzUEsBAi0AFAAGAAgAAAAhALXQEQK5AgAAxQUAAA4A&#10;AAAAAAAAAAAAAAAALAIAAGRycy9lMm9Eb2MueG1sUEsBAi0AFAAGAAgAAAAhAEyg6SzYAAAAAwEA&#10;AA8AAAAAAAAAAAAAAAAAEQUAAGRycy9kb3ducmV2LnhtbFBLBQYAAAAABAAEAPMAAAAWBgAAAAA=&#10;" filled="f" stroked="f">
            <o:lock v:ext="edit" aspectratio="t"/>
            <w10:wrap type="none"/>
            <w10:anchorlock/>
          </v:rect>
        </w:pict>
      </w:r>
    </w:p>
    <w:p w:rsidR="009E63FA" w:rsidRDefault="009E63FA" w:rsidP="009E63FA">
      <w:pPr>
        <w:pStyle w:val="textindenta"/>
        <w:spacing w:before="24" w:beforeAutospacing="0" w:after="24" w:afterAutospacing="0"/>
        <w:ind w:left="480" w:firstLine="36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During this period, each partner withdrew cash of $10,000 per year. Right invested an additional $12,000 in cash on February 9, 2015.</w:t>
      </w:r>
    </w:p>
    <w:p w:rsidR="009E63FA" w:rsidRDefault="009E63FA" w:rsidP="009E63FA">
      <w:pPr>
        <w:pStyle w:val="textindenta"/>
        <w:spacing w:before="24" w:beforeAutospacing="0" w:after="24" w:afterAutospacing="0"/>
        <w:ind w:left="480" w:firstLine="36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At the time that the partnership was created, the three partners agreed to allocate all profits and losses according to a specified plan written as follows:</w:t>
      </w:r>
    </w:p>
    <w:p w:rsidR="009E63FA" w:rsidRDefault="009E63FA" w:rsidP="009E63FA">
      <w:pPr>
        <w:pStyle w:val="bull-list1"/>
        <w:spacing w:before="24" w:beforeAutospacing="0" w:after="24" w:afterAutospacing="0"/>
        <w:ind w:left="360" w:hanging="255"/>
        <w:rPr>
          <w:rFonts w:cs="Times New Roman"/>
          <w:color w:val="000000"/>
          <w:sz w:val="22"/>
          <w:szCs w:val="22"/>
        </w:rPr>
      </w:pPr>
      <w:r>
        <w:rPr>
          <w:rStyle w:val="bull"/>
          <w:rFonts w:cs="Times New Roman"/>
          <w:b/>
          <w:bCs/>
          <w:color w:val="7BC8F4"/>
          <w:sz w:val="22"/>
          <w:szCs w:val="22"/>
        </w:rPr>
        <w:t>•</w:t>
      </w:r>
      <w:r>
        <w:rPr>
          <w:rStyle w:val="apple-converted-space"/>
          <w:rFonts w:cs="Times New Roman"/>
          <w:color w:val="000000"/>
          <w:sz w:val="22"/>
          <w:szCs w:val="22"/>
        </w:rPr>
        <w:t> </w:t>
      </w:r>
      <w:r>
        <w:rPr>
          <w:rFonts w:cs="Times New Roman"/>
          <w:color w:val="000000"/>
          <w:sz w:val="22"/>
          <w:szCs w:val="22"/>
        </w:rPr>
        <w:t>Each partner is entitled to interest computed at the rate of 12 percent per year based on the individual capital balances at the beginning of that year.</w:t>
      </w:r>
    </w:p>
    <w:p w:rsidR="009E63FA" w:rsidRDefault="009E63FA" w:rsidP="009E63FA">
      <w:pPr>
        <w:pStyle w:val="bull-list1"/>
        <w:spacing w:before="24" w:beforeAutospacing="0" w:after="24" w:afterAutospacing="0"/>
        <w:ind w:left="360" w:hanging="255"/>
        <w:rPr>
          <w:rFonts w:cs="Times New Roman"/>
          <w:color w:val="000000"/>
          <w:sz w:val="22"/>
          <w:szCs w:val="22"/>
        </w:rPr>
      </w:pPr>
      <w:r>
        <w:rPr>
          <w:rStyle w:val="bull"/>
          <w:rFonts w:cs="Times New Roman"/>
          <w:b/>
          <w:bCs/>
          <w:color w:val="7BC8F4"/>
          <w:sz w:val="22"/>
          <w:szCs w:val="22"/>
        </w:rPr>
        <w:t>•</w:t>
      </w:r>
      <w:r>
        <w:rPr>
          <w:rStyle w:val="apple-converted-space"/>
          <w:rFonts w:cs="Times New Roman"/>
          <w:color w:val="000000"/>
          <w:sz w:val="22"/>
          <w:szCs w:val="22"/>
        </w:rPr>
        <w:t> </w:t>
      </w:r>
      <w:r>
        <w:rPr>
          <w:rFonts w:cs="Times New Roman"/>
          <w:color w:val="000000"/>
          <w:sz w:val="22"/>
          <w:szCs w:val="22"/>
        </w:rPr>
        <w:t>Because of prior work experience, Left is entitled to an annual salary allowance of $12,000, and Center is credited with $8,000 per year.</w:t>
      </w:r>
    </w:p>
    <w:p w:rsidR="009E63FA" w:rsidRDefault="009E63FA" w:rsidP="009E63FA">
      <w:pPr>
        <w:pStyle w:val="bull-list1"/>
        <w:spacing w:before="24" w:beforeAutospacing="0" w:after="24" w:afterAutospacing="0"/>
        <w:ind w:left="360" w:hanging="255"/>
        <w:rPr>
          <w:rFonts w:cs="Times New Roman"/>
          <w:color w:val="000000"/>
          <w:sz w:val="22"/>
          <w:szCs w:val="22"/>
        </w:rPr>
      </w:pPr>
      <w:r>
        <w:rPr>
          <w:rStyle w:val="bull"/>
          <w:rFonts w:cs="Times New Roman"/>
          <w:b/>
          <w:bCs/>
          <w:color w:val="7BC8F4"/>
          <w:sz w:val="22"/>
          <w:szCs w:val="22"/>
        </w:rPr>
        <w:lastRenderedPageBreak/>
        <w:t>•</w:t>
      </w:r>
      <w:r>
        <w:rPr>
          <w:rStyle w:val="apple-converted-space"/>
          <w:rFonts w:cs="Times New Roman"/>
          <w:color w:val="000000"/>
          <w:sz w:val="22"/>
          <w:szCs w:val="22"/>
        </w:rPr>
        <w:t> </w:t>
      </w:r>
      <w:r>
        <w:rPr>
          <w:rFonts w:cs="Times New Roman"/>
          <w:color w:val="000000"/>
          <w:sz w:val="22"/>
          <w:szCs w:val="22"/>
        </w:rPr>
        <w:t>Any remaining profit will be split as follows: Left, 20 percent; Center, 40 percent; and Right, 40 percent. If a loss remains, the balance will be allocated: Left, 30 percent; Center, 50 percent; and Right, 20 percent.</w:t>
      </w:r>
    </w:p>
    <w:p w:rsidR="009E63FA" w:rsidRDefault="009E63FA" w:rsidP="009E63FA">
      <w:pPr>
        <w:pStyle w:val="texta"/>
        <w:spacing w:before="36" w:beforeAutospacing="0" w:after="36" w:afterAutospacing="0"/>
        <w:ind w:left="42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Determine the ending capital balance for each partner as of the end of each of these three years.</w:t>
      </w:r>
    </w:p>
    <w:p w:rsidR="00042F7E" w:rsidRDefault="00042F7E"/>
    <w:sectPr w:rsidR="00042F7E" w:rsidSect="00042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63FA"/>
    <w:rsid w:val="00042F7E"/>
    <w:rsid w:val="009E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1">
    <w:name w:val="pro1"/>
    <w:basedOn w:val="Normal"/>
    <w:rsid w:val="009E63FA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customStyle="1" w:styleId="text1">
    <w:name w:val="text1"/>
    <w:basedOn w:val="Normal"/>
    <w:rsid w:val="009E63FA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bg">
    <w:name w:val="bg"/>
    <w:basedOn w:val="DefaultParagraphFont"/>
    <w:rsid w:val="009E63FA"/>
  </w:style>
  <w:style w:type="character" w:customStyle="1" w:styleId="apple-converted-space">
    <w:name w:val="apple-converted-space"/>
    <w:basedOn w:val="DefaultParagraphFont"/>
    <w:rsid w:val="009E63FA"/>
  </w:style>
  <w:style w:type="paragraph" w:customStyle="1" w:styleId="image">
    <w:name w:val="image"/>
    <w:basedOn w:val="Normal"/>
    <w:rsid w:val="009E63FA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customStyle="1" w:styleId="texta">
    <w:name w:val="texta"/>
    <w:basedOn w:val="Normal"/>
    <w:rsid w:val="009E63FA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customStyle="1" w:styleId="textindenta">
    <w:name w:val="textindenta"/>
    <w:basedOn w:val="Normal"/>
    <w:rsid w:val="009E63FA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customStyle="1" w:styleId="bull-list1">
    <w:name w:val="bull-list1"/>
    <w:basedOn w:val="Normal"/>
    <w:rsid w:val="009E63FA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bull">
    <w:name w:val="bull"/>
    <w:basedOn w:val="DefaultParagraphFont"/>
    <w:rsid w:val="009E6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2017-06-17T04:59:00Z</dcterms:created>
  <dcterms:modified xsi:type="dcterms:W3CDTF">2017-06-17T04:59:00Z</dcterms:modified>
</cp:coreProperties>
</file>