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4AA2A" w14:textId="77777777" w:rsidR="00177486" w:rsidRPr="00177486" w:rsidRDefault="00177486" w:rsidP="00177486">
      <w:pPr>
        <w:pStyle w:val="BodyText"/>
        <w:pBdr>
          <w:bottom w:val="single" w:sz="4" w:space="1" w:color="auto"/>
        </w:pBdr>
        <w:spacing w:before="100" w:beforeAutospacing="1" w:after="100" w:afterAutospacing="1"/>
        <w:rPr>
          <w:b/>
          <w:sz w:val="28"/>
        </w:rPr>
      </w:pPr>
      <w:r w:rsidRPr="00E46434">
        <w:rPr>
          <w:b/>
          <w:sz w:val="28"/>
        </w:rPr>
        <w:t>BUDGETING ASSIGN</w:t>
      </w:r>
      <w:r w:rsidRPr="00177486">
        <w:rPr>
          <w:b/>
          <w:sz w:val="28"/>
        </w:rPr>
        <w:t>MENT – CASE</w:t>
      </w:r>
    </w:p>
    <w:p w14:paraId="01E0CF20" w14:textId="77777777" w:rsidR="00177486" w:rsidRPr="00177486" w:rsidRDefault="00177486" w:rsidP="00177486">
      <w:pPr>
        <w:pStyle w:val="BodyText"/>
        <w:spacing w:before="100" w:beforeAutospacing="1" w:after="100" w:afterAutospacing="1" w:line="276" w:lineRule="auto"/>
        <w:rPr>
          <w:rFonts w:asciiTheme="minorHAnsi" w:hAnsiTheme="minorHAnsi"/>
        </w:rPr>
      </w:pPr>
      <w:r w:rsidRPr="00177486">
        <w:rPr>
          <w:rFonts w:asciiTheme="minorHAnsi" w:hAnsiTheme="minorHAnsi"/>
        </w:rPr>
        <w:t xml:space="preserve">After years of simply pressing the same button day in and day out you have recently been promoted to full cost accountant for Fidget Widgets (FW), a wholesaler of fidget devices operating across Canada. Management is considering expanding to take advantage of high growth in the market but in order to do so they will need to obtain a loan from the bank. The bank requires any company to submit a business plan for the upcoming year in order to support any loan request.  As part of this plan, you have been asked to prepare a budget for the upcoming year.  You begin this task by meeting with the marketing team to help them to prepare a sales forecast for boxes of the two main types of widgets they sell: Spinners and Cubes.  </w:t>
      </w:r>
    </w:p>
    <w:p w14:paraId="2876A524" w14:textId="77777777" w:rsidR="00177486" w:rsidRPr="00177486" w:rsidRDefault="00177486" w:rsidP="00177486">
      <w:pPr>
        <w:pStyle w:val="BodyText"/>
        <w:spacing w:before="100" w:beforeAutospacing="1" w:line="276" w:lineRule="auto"/>
        <w:rPr>
          <w:rFonts w:asciiTheme="minorHAnsi" w:hAnsiTheme="minorHAnsi"/>
        </w:rPr>
      </w:pPr>
      <w:r w:rsidRPr="00177486">
        <w:rPr>
          <w:rFonts w:asciiTheme="minorHAnsi" w:hAnsiTheme="minorHAnsi"/>
        </w:rPr>
        <w:t>The monthly forecast (13 months) for each type of widget is as follows:</w:t>
      </w:r>
    </w:p>
    <w:tbl>
      <w:tblPr>
        <w:tblW w:w="10353" w:type="dxa"/>
        <w:tblLook w:val="04A0" w:firstRow="1" w:lastRow="0" w:firstColumn="1" w:lastColumn="0" w:noHBand="0" w:noVBand="1"/>
      </w:tblPr>
      <w:tblGrid>
        <w:gridCol w:w="1170"/>
        <w:gridCol w:w="663"/>
        <w:gridCol w:w="687"/>
        <w:gridCol w:w="717"/>
        <w:gridCol w:w="717"/>
        <w:gridCol w:w="717"/>
        <w:gridCol w:w="717"/>
        <w:gridCol w:w="717"/>
        <w:gridCol w:w="717"/>
        <w:gridCol w:w="717"/>
        <w:gridCol w:w="717"/>
        <w:gridCol w:w="717"/>
        <w:gridCol w:w="717"/>
        <w:gridCol w:w="907"/>
      </w:tblGrid>
      <w:tr w:rsidR="00177486" w:rsidRPr="00177486" w14:paraId="27F14B54" w14:textId="77777777" w:rsidTr="00FF0997">
        <w:trPr>
          <w:trHeight w:val="300"/>
        </w:trPr>
        <w:tc>
          <w:tcPr>
            <w:tcW w:w="1170" w:type="dxa"/>
            <w:tcBorders>
              <w:top w:val="nil"/>
              <w:left w:val="nil"/>
              <w:bottom w:val="nil"/>
              <w:right w:val="nil"/>
            </w:tcBorders>
            <w:shd w:val="clear" w:color="auto" w:fill="auto"/>
            <w:noWrap/>
            <w:vAlign w:val="bottom"/>
            <w:hideMark/>
          </w:tcPr>
          <w:p w14:paraId="6AAA177E" w14:textId="77777777" w:rsidR="00177486" w:rsidRPr="00177486" w:rsidRDefault="00177486" w:rsidP="00FF0997">
            <w:pPr>
              <w:widowControl/>
              <w:rPr>
                <w:rFonts w:ascii="Times New Roman" w:eastAsia="Times New Roman" w:hAnsi="Times New Roman" w:cs="Times New Roman"/>
                <w:sz w:val="24"/>
                <w:szCs w:val="24"/>
              </w:rPr>
            </w:pPr>
          </w:p>
        </w:tc>
        <w:tc>
          <w:tcPr>
            <w:tcW w:w="918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41D35"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Sales (Boxes)</w:t>
            </w:r>
          </w:p>
        </w:tc>
      </w:tr>
      <w:tr w:rsidR="00177486" w:rsidRPr="00177486" w14:paraId="02CD8917" w14:textId="77777777" w:rsidTr="00FF099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39D85" w14:textId="77777777" w:rsidR="00177486" w:rsidRPr="00177486" w:rsidRDefault="00177486" w:rsidP="00FF0997">
            <w:pPr>
              <w:widowControl/>
              <w:rPr>
                <w:rFonts w:eastAsia="Times New Roman" w:cs="Times New Roman"/>
                <w:b/>
                <w:bCs/>
                <w:color w:val="000000"/>
              </w:rPr>
            </w:pPr>
            <w:r w:rsidRPr="00177486">
              <w:rPr>
                <w:rFonts w:eastAsia="Times New Roman" w:cs="Times New Roman"/>
                <w:b/>
                <w:bCs/>
                <w:color w:val="000000"/>
              </w:rPr>
              <w:t>Widget Types</w:t>
            </w:r>
          </w:p>
        </w:tc>
        <w:tc>
          <w:tcPr>
            <w:tcW w:w="663" w:type="dxa"/>
            <w:tcBorders>
              <w:top w:val="nil"/>
              <w:left w:val="nil"/>
              <w:bottom w:val="single" w:sz="4" w:space="0" w:color="auto"/>
              <w:right w:val="single" w:sz="4" w:space="0" w:color="auto"/>
            </w:tcBorders>
            <w:shd w:val="clear" w:color="auto" w:fill="auto"/>
            <w:noWrap/>
            <w:vAlign w:val="bottom"/>
            <w:hideMark/>
          </w:tcPr>
          <w:p w14:paraId="2D1EE683"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Jul 2017</w:t>
            </w:r>
          </w:p>
        </w:tc>
        <w:tc>
          <w:tcPr>
            <w:tcW w:w="687" w:type="dxa"/>
            <w:tcBorders>
              <w:top w:val="nil"/>
              <w:left w:val="nil"/>
              <w:bottom w:val="single" w:sz="4" w:space="0" w:color="auto"/>
              <w:right w:val="single" w:sz="4" w:space="0" w:color="auto"/>
            </w:tcBorders>
            <w:shd w:val="clear" w:color="auto" w:fill="auto"/>
            <w:noWrap/>
            <w:vAlign w:val="bottom"/>
            <w:hideMark/>
          </w:tcPr>
          <w:p w14:paraId="157DF859"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Aug</w:t>
            </w:r>
          </w:p>
        </w:tc>
        <w:tc>
          <w:tcPr>
            <w:tcW w:w="717" w:type="dxa"/>
            <w:tcBorders>
              <w:top w:val="nil"/>
              <w:left w:val="nil"/>
              <w:bottom w:val="single" w:sz="4" w:space="0" w:color="auto"/>
              <w:right w:val="single" w:sz="4" w:space="0" w:color="auto"/>
            </w:tcBorders>
            <w:shd w:val="clear" w:color="auto" w:fill="auto"/>
            <w:noWrap/>
            <w:vAlign w:val="bottom"/>
            <w:hideMark/>
          </w:tcPr>
          <w:p w14:paraId="1CAD301F"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Sept</w:t>
            </w:r>
          </w:p>
        </w:tc>
        <w:tc>
          <w:tcPr>
            <w:tcW w:w="717" w:type="dxa"/>
            <w:tcBorders>
              <w:top w:val="nil"/>
              <w:left w:val="nil"/>
              <w:bottom w:val="single" w:sz="4" w:space="0" w:color="auto"/>
              <w:right w:val="single" w:sz="4" w:space="0" w:color="auto"/>
            </w:tcBorders>
            <w:shd w:val="clear" w:color="auto" w:fill="auto"/>
            <w:noWrap/>
            <w:vAlign w:val="bottom"/>
            <w:hideMark/>
          </w:tcPr>
          <w:p w14:paraId="3B1BDB2C"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Oct</w:t>
            </w:r>
          </w:p>
        </w:tc>
        <w:tc>
          <w:tcPr>
            <w:tcW w:w="717" w:type="dxa"/>
            <w:tcBorders>
              <w:top w:val="nil"/>
              <w:left w:val="nil"/>
              <w:bottom w:val="single" w:sz="4" w:space="0" w:color="auto"/>
              <w:right w:val="single" w:sz="4" w:space="0" w:color="auto"/>
            </w:tcBorders>
            <w:shd w:val="clear" w:color="auto" w:fill="auto"/>
            <w:noWrap/>
            <w:vAlign w:val="bottom"/>
            <w:hideMark/>
          </w:tcPr>
          <w:p w14:paraId="36B3EC85"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Nov</w:t>
            </w:r>
          </w:p>
        </w:tc>
        <w:tc>
          <w:tcPr>
            <w:tcW w:w="717" w:type="dxa"/>
            <w:tcBorders>
              <w:top w:val="nil"/>
              <w:left w:val="nil"/>
              <w:bottom w:val="single" w:sz="4" w:space="0" w:color="auto"/>
              <w:right w:val="single" w:sz="4" w:space="0" w:color="auto"/>
            </w:tcBorders>
            <w:shd w:val="clear" w:color="auto" w:fill="auto"/>
            <w:noWrap/>
            <w:vAlign w:val="bottom"/>
            <w:hideMark/>
          </w:tcPr>
          <w:p w14:paraId="2F85735F"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Dec</w:t>
            </w:r>
          </w:p>
        </w:tc>
        <w:tc>
          <w:tcPr>
            <w:tcW w:w="717" w:type="dxa"/>
            <w:tcBorders>
              <w:top w:val="nil"/>
              <w:left w:val="nil"/>
              <w:bottom w:val="single" w:sz="4" w:space="0" w:color="auto"/>
              <w:right w:val="single" w:sz="4" w:space="0" w:color="auto"/>
            </w:tcBorders>
            <w:shd w:val="clear" w:color="auto" w:fill="auto"/>
            <w:noWrap/>
            <w:vAlign w:val="bottom"/>
            <w:hideMark/>
          </w:tcPr>
          <w:p w14:paraId="2DA7E12C"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Jan</w:t>
            </w:r>
          </w:p>
          <w:p w14:paraId="1C7630C6"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2018</w:t>
            </w:r>
          </w:p>
        </w:tc>
        <w:tc>
          <w:tcPr>
            <w:tcW w:w="717" w:type="dxa"/>
            <w:tcBorders>
              <w:top w:val="nil"/>
              <w:left w:val="nil"/>
              <w:bottom w:val="single" w:sz="4" w:space="0" w:color="auto"/>
              <w:right w:val="single" w:sz="4" w:space="0" w:color="auto"/>
            </w:tcBorders>
            <w:shd w:val="clear" w:color="auto" w:fill="auto"/>
            <w:noWrap/>
            <w:vAlign w:val="bottom"/>
            <w:hideMark/>
          </w:tcPr>
          <w:p w14:paraId="7D39E2F5"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Feb</w:t>
            </w:r>
          </w:p>
        </w:tc>
        <w:tc>
          <w:tcPr>
            <w:tcW w:w="717" w:type="dxa"/>
            <w:tcBorders>
              <w:top w:val="nil"/>
              <w:left w:val="nil"/>
              <w:bottom w:val="single" w:sz="4" w:space="0" w:color="auto"/>
              <w:right w:val="single" w:sz="4" w:space="0" w:color="auto"/>
            </w:tcBorders>
            <w:shd w:val="clear" w:color="auto" w:fill="auto"/>
            <w:noWrap/>
            <w:vAlign w:val="bottom"/>
            <w:hideMark/>
          </w:tcPr>
          <w:p w14:paraId="30C4D8B3"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Mar</w:t>
            </w:r>
          </w:p>
        </w:tc>
        <w:tc>
          <w:tcPr>
            <w:tcW w:w="717" w:type="dxa"/>
            <w:tcBorders>
              <w:top w:val="nil"/>
              <w:left w:val="nil"/>
              <w:bottom w:val="single" w:sz="4" w:space="0" w:color="auto"/>
              <w:right w:val="single" w:sz="4" w:space="0" w:color="auto"/>
            </w:tcBorders>
            <w:shd w:val="clear" w:color="auto" w:fill="auto"/>
            <w:noWrap/>
            <w:vAlign w:val="bottom"/>
            <w:hideMark/>
          </w:tcPr>
          <w:p w14:paraId="0ABA2312"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Apr</w:t>
            </w:r>
          </w:p>
        </w:tc>
        <w:tc>
          <w:tcPr>
            <w:tcW w:w="717" w:type="dxa"/>
            <w:tcBorders>
              <w:top w:val="nil"/>
              <w:left w:val="nil"/>
              <w:bottom w:val="single" w:sz="4" w:space="0" w:color="auto"/>
              <w:right w:val="single" w:sz="4" w:space="0" w:color="auto"/>
            </w:tcBorders>
            <w:shd w:val="clear" w:color="auto" w:fill="auto"/>
            <w:noWrap/>
            <w:vAlign w:val="bottom"/>
            <w:hideMark/>
          </w:tcPr>
          <w:p w14:paraId="21E02D6D"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May</w:t>
            </w:r>
          </w:p>
        </w:tc>
        <w:tc>
          <w:tcPr>
            <w:tcW w:w="717" w:type="dxa"/>
            <w:tcBorders>
              <w:top w:val="nil"/>
              <w:left w:val="nil"/>
              <w:bottom w:val="single" w:sz="4" w:space="0" w:color="auto"/>
              <w:right w:val="single" w:sz="4" w:space="0" w:color="auto"/>
            </w:tcBorders>
            <w:shd w:val="clear" w:color="auto" w:fill="auto"/>
            <w:noWrap/>
            <w:vAlign w:val="bottom"/>
            <w:hideMark/>
          </w:tcPr>
          <w:p w14:paraId="303B77CE"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Jun</w:t>
            </w:r>
          </w:p>
        </w:tc>
        <w:tc>
          <w:tcPr>
            <w:tcW w:w="663" w:type="dxa"/>
            <w:tcBorders>
              <w:top w:val="nil"/>
              <w:left w:val="nil"/>
              <w:bottom w:val="single" w:sz="4" w:space="0" w:color="auto"/>
              <w:right w:val="single" w:sz="4" w:space="0" w:color="auto"/>
            </w:tcBorders>
            <w:shd w:val="clear" w:color="auto" w:fill="auto"/>
            <w:noWrap/>
            <w:vAlign w:val="bottom"/>
            <w:hideMark/>
          </w:tcPr>
          <w:p w14:paraId="746FDF11"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rPr>
              <w:t>Jul2018</w:t>
            </w:r>
          </w:p>
        </w:tc>
      </w:tr>
      <w:tr w:rsidR="00177486" w:rsidRPr="00177486" w14:paraId="1BC3A1A2" w14:textId="77777777" w:rsidTr="00FF099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210D8DA" w14:textId="77777777" w:rsidR="00177486" w:rsidRPr="00177486" w:rsidRDefault="00177486" w:rsidP="00FF0997">
            <w:pPr>
              <w:widowControl/>
              <w:rPr>
                <w:rFonts w:eastAsia="Times New Roman" w:cs="Times New Roman"/>
                <w:color w:val="000000"/>
              </w:rPr>
            </w:pPr>
            <w:r w:rsidRPr="00177486">
              <w:rPr>
                <w:rFonts w:eastAsia="Times New Roman" w:cs="Times New Roman"/>
                <w:color w:val="000000"/>
              </w:rPr>
              <w:t>Spinners</w:t>
            </w:r>
          </w:p>
        </w:tc>
        <w:tc>
          <w:tcPr>
            <w:tcW w:w="663" w:type="dxa"/>
            <w:tcBorders>
              <w:top w:val="nil"/>
              <w:left w:val="nil"/>
              <w:bottom w:val="single" w:sz="4" w:space="0" w:color="auto"/>
              <w:right w:val="single" w:sz="4" w:space="0" w:color="auto"/>
            </w:tcBorders>
            <w:shd w:val="clear" w:color="auto" w:fill="auto"/>
            <w:noWrap/>
            <w:vAlign w:val="bottom"/>
            <w:hideMark/>
          </w:tcPr>
          <w:p w14:paraId="7B5BDE17"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700</w:t>
            </w:r>
          </w:p>
        </w:tc>
        <w:tc>
          <w:tcPr>
            <w:tcW w:w="687" w:type="dxa"/>
            <w:tcBorders>
              <w:top w:val="nil"/>
              <w:left w:val="nil"/>
              <w:bottom w:val="single" w:sz="4" w:space="0" w:color="auto"/>
              <w:right w:val="single" w:sz="4" w:space="0" w:color="auto"/>
            </w:tcBorders>
            <w:shd w:val="clear" w:color="auto" w:fill="auto"/>
            <w:noWrap/>
            <w:vAlign w:val="bottom"/>
            <w:hideMark/>
          </w:tcPr>
          <w:p w14:paraId="0E64005C"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650</w:t>
            </w:r>
          </w:p>
        </w:tc>
        <w:tc>
          <w:tcPr>
            <w:tcW w:w="717" w:type="dxa"/>
            <w:tcBorders>
              <w:top w:val="nil"/>
              <w:left w:val="nil"/>
              <w:bottom w:val="single" w:sz="4" w:space="0" w:color="auto"/>
              <w:right w:val="single" w:sz="4" w:space="0" w:color="auto"/>
            </w:tcBorders>
            <w:shd w:val="clear" w:color="auto" w:fill="auto"/>
            <w:noWrap/>
            <w:vAlign w:val="bottom"/>
            <w:hideMark/>
          </w:tcPr>
          <w:p w14:paraId="2D6E8165"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600</w:t>
            </w:r>
          </w:p>
        </w:tc>
        <w:tc>
          <w:tcPr>
            <w:tcW w:w="717" w:type="dxa"/>
            <w:tcBorders>
              <w:top w:val="nil"/>
              <w:left w:val="nil"/>
              <w:bottom w:val="single" w:sz="4" w:space="0" w:color="auto"/>
              <w:right w:val="single" w:sz="4" w:space="0" w:color="auto"/>
            </w:tcBorders>
            <w:shd w:val="clear" w:color="auto" w:fill="auto"/>
            <w:noWrap/>
            <w:vAlign w:val="bottom"/>
            <w:hideMark/>
          </w:tcPr>
          <w:p w14:paraId="0366CD79"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750</w:t>
            </w:r>
          </w:p>
        </w:tc>
        <w:tc>
          <w:tcPr>
            <w:tcW w:w="717" w:type="dxa"/>
            <w:tcBorders>
              <w:top w:val="nil"/>
              <w:left w:val="nil"/>
              <w:bottom w:val="single" w:sz="4" w:space="0" w:color="auto"/>
              <w:right w:val="single" w:sz="4" w:space="0" w:color="auto"/>
            </w:tcBorders>
            <w:shd w:val="clear" w:color="auto" w:fill="auto"/>
            <w:noWrap/>
            <w:vAlign w:val="bottom"/>
            <w:hideMark/>
          </w:tcPr>
          <w:p w14:paraId="19E53CE7"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750</w:t>
            </w:r>
          </w:p>
        </w:tc>
        <w:tc>
          <w:tcPr>
            <w:tcW w:w="717" w:type="dxa"/>
            <w:tcBorders>
              <w:top w:val="nil"/>
              <w:left w:val="nil"/>
              <w:bottom w:val="single" w:sz="4" w:space="0" w:color="auto"/>
              <w:right w:val="single" w:sz="4" w:space="0" w:color="auto"/>
            </w:tcBorders>
            <w:shd w:val="clear" w:color="auto" w:fill="auto"/>
            <w:noWrap/>
            <w:vAlign w:val="bottom"/>
            <w:hideMark/>
          </w:tcPr>
          <w:p w14:paraId="0A5E2843"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2,000</w:t>
            </w:r>
          </w:p>
        </w:tc>
        <w:tc>
          <w:tcPr>
            <w:tcW w:w="717" w:type="dxa"/>
            <w:tcBorders>
              <w:top w:val="nil"/>
              <w:left w:val="nil"/>
              <w:bottom w:val="single" w:sz="4" w:space="0" w:color="auto"/>
              <w:right w:val="single" w:sz="4" w:space="0" w:color="auto"/>
            </w:tcBorders>
            <w:shd w:val="clear" w:color="auto" w:fill="auto"/>
            <w:noWrap/>
            <w:vAlign w:val="bottom"/>
            <w:hideMark/>
          </w:tcPr>
          <w:p w14:paraId="593B4A9C"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2,300</w:t>
            </w:r>
          </w:p>
        </w:tc>
        <w:tc>
          <w:tcPr>
            <w:tcW w:w="717" w:type="dxa"/>
            <w:tcBorders>
              <w:top w:val="nil"/>
              <w:left w:val="nil"/>
              <w:bottom w:val="single" w:sz="4" w:space="0" w:color="auto"/>
              <w:right w:val="single" w:sz="4" w:space="0" w:color="auto"/>
            </w:tcBorders>
            <w:shd w:val="clear" w:color="auto" w:fill="auto"/>
            <w:noWrap/>
            <w:vAlign w:val="bottom"/>
            <w:hideMark/>
          </w:tcPr>
          <w:p w14:paraId="52AA2C52"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2,400</w:t>
            </w:r>
          </w:p>
        </w:tc>
        <w:tc>
          <w:tcPr>
            <w:tcW w:w="717" w:type="dxa"/>
            <w:tcBorders>
              <w:top w:val="nil"/>
              <w:left w:val="nil"/>
              <w:bottom w:val="single" w:sz="4" w:space="0" w:color="auto"/>
              <w:right w:val="single" w:sz="4" w:space="0" w:color="auto"/>
            </w:tcBorders>
            <w:shd w:val="clear" w:color="auto" w:fill="auto"/>
            <w:noWrap/>
            <w:vAlign w:val="bottom"/>
            <w:hideMark/>
          </w:tcPr>
          <w:p w14:paraId="657323F9"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2,000</w:t>
            </w:r>
          </w:p>
        </w:tc>
        <w:tc>
          <w:tcPr>
            <w:tcW w:w="717" w:type="dxa"/>
            <w:tcBorders>
              <w:top w:val="nil"/>
              <w:left w:val="nil"/>
              <w:bottom w:val="single" w:sz="4" w:space="0" w:color="auto"/>
              <w:right w:val="single" w:sz="4" w:space="0" w:color="auto"/>
            </w:tcBorders>
            <w:shd w:val="clear" w:color="auto" w:fill="auto"/>
            <w:noWrap/>
            <w:vAlign w:val="bottom"/>
            <w:hideMark/>
          </w:tcPr>
          <w:p w14:paraId="0D37EDAA"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900</w:t>
            </w:r>
          </w:p>
        </w:tc>
        <w:tc>
          <w:tcPr>
            <w:tcW w:w="717" w:type="dxa"/>
            <w:tcBorders>
              <w:top w:val="nil"/>
              <w:left w:val="nil"/>
              <w:bottom w:val="single" w:sz="4" w:space="0" w:color="auto"/>
              <w:right w:val="single" w:sz="4" w:space="0" w:color="auto"/>
            </w:tcBorders>
            <w:shd w:val="clear" w:color="auto" w:fill="auto"/>
            <w:noWrap/>
            <w:vAlign w:val="bottom"/>
            <w:hideMark/>
          </w:tcPr>
          <w:p w14:paraId="35A53CF2"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900</w:t>
            </w:r>
          </w:p>
        </w:tc>
        <w:tc>
          <w:tcPr>
            <w:tcW w:w="717" w:type="dxa"/>
            <w:tcBorders>
              <w:top w:val="nil"/>
              <w:left w:val="nil"/>
              <w:bottom w:val="single" w:sz="4" w:space="0" w:color="auto"/>
              <w:right w:val="single" w:sz="4" w:space="0" w:color="auto"/>
            </w:tcBorders>
            <w:shd w:val="clear" w:color="auto" w:fill="auto"/>
            <w:noWrap/>
            <w:vAlign w:val="bottom"/>
            <w:hideMark/>
          </w:tcPr>
          <w:p w14:paraId="1F1FCD82"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700</w:t>
            </w:r>
          </w:p>
        </w:tc>
        <w:tc>
          <w:tcPr>
            <w:tcW w:w="663" w:type="dxa"/>
            <w:tcBorders>
              <w:top w:val="nil"/>
              <w:left w:val="nil"/>
              <w:bottom w:val="single" w:sz="4" w:space="0" w:color="auto"/>
              <w:right w:val="single" w:sz="4" w:space="0" w:color="auto"/>
            </w:tcBorders>
            <w:shd w:val="clear" w:color="auto" w:fill="auto"/>
            <w:noWrap/>
            <w:vAlign w:val="bottom"/>
            <w:hideMark/>
          </w:tcPr>
          <w:p w14:paraId="221BB38B"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 xml:space="preserve">          800 </w:t>
            </w:r>
          </w:p>
        </w:tc>
      </w:tr>
      <w:tr w:rsidR="00177486" w:rsidRPr="00177486" w14:paraId="5329E4C9" w14:textId="77777777" w:rsidTr="00FF0997">
        <w:trPr>
          <w:trHeight w:val="278"/>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B1C77ED" w14:textId="77777777" w:rsidR="00177486" w:rsidRPr="00177486" w:rsidRDefault="00177486" w:rsidP="00FF0997">
            <w:pPr>
              <w:widowControl/>
              <w:rPr>
                <w:rFonts w:eastAsia="Times New Roman" w:cs="Times New Roman"/>
                <w:color w:val="000000"/>
              </w:rPr>
            </w:pPr>
            <w:r w:rsidRPr="00177486">
              <w:rPr>
                <w:rFonts w:eastAsia="Times New Roman" w:cs="Times New Roman"/>
                <w:color w:val="000000"/>
              </w:rPr>
              <w:t>Cubes</w:t>
            </w:r>
          </w:p>
        </w:tc>
        <w:tc>
          <w:tcPr>
            <w:tcW w:w="663" w:type="dxa"/>
            <w:tcBorders>
              <w:top w:val="nil"/>
              <w:left w:val="nil"/>
              <w:bottom w:val="single" w:sz="4" w:space="0" w:color="auto"/>
              <w:right w:val="single" w:sz="4" w:space="0" w:color="auto"/>
            </w:tcBorders>
            <w:shd w:val="clear" w:color="auto" w:fill="auto"/>
            <w:noWrap/>
            <w:vAlign w:val="bottom"/>
            <w:hideMark/>
          </w:tcPr>
          <w:p w14:paraId="4E31A227"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600</w:t>
            </w:r>
          </w:p>
        </w:tc>
        <w:tc>
          <w:tcPr>
            <w:tcW w:w="687" w:type="dxa"/>
            <w:tcBorders>
              <w:top w:val="nil"/>
              <w:left w:val="nil"/>
              <w:bottom w:val="single" w:sz="4" w:space="0" w:color="auto"/>
              <w:right w:val="single" w:sz="4" w:space="0" w:color="auto"/>
            </w:tcBorders>
            <w:shd w:val="clear" w:color="auto" w:fill="auto"/>
            <w:noWrap/>
            <w:vAlign w:val="bottom"/>
            <w:hideMark/>
          </w:tcPr>
          <w:p w14:paraId="612690F3"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600</w:t>
            </w:r>
          </w:p>
        </w:tc>
        <w:tc>
          <w:tcPr>
            <w:tcW w:w="717" w:type="dxa"/>
            <w:tcBorders>
              <w:top w:val="nil"/>
              <w:left w:val="nil"/>
              <w:bottom w:val="single" w:sz="4" w:space="0" w:color="auto"/>
              <w:right w:val="single" w:sz="4" w:space="0" w:color="auto"/>
            </w:tcBorders>
            <w:shd w:val="clear" w:color="auto" w:fill="auto"/>
            <w:noWrap/>
            <w:vAlign w:val="bottom"/>
            <w:hideMark/>
          </w:tcPr>
          <w:p w14:paraId="1F93B1DD"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900</w:t>
            </w:r>
          </w:p>
        </w:tc>
        <w:tc>
          <w:tcPr>
            <w:tcW w:w="717" w:type="dxa"/>
            <w:tcBorders>
              <w:top w:val="nil"/>
              <w:left w:val="nil"/>
              <w:bottom w:val="single" w:sz="4" w:space="0" w:color="auto"/>
              <w:right w:val="single" w:sz="4" w:space="0" w:color="auto"/>
            </w:tcBorders>
            <w:shd w:val="clear" w:color="auto" w:fill="auto"/>
            <w:noWrap/>
            <w:vAlign w:val="bottom"/>
            <w:hideMark/>
          </w:tcPr>
          <w:p w14:paraId="001B413B"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1,200</w:t>
            </w:r>
          </w:p>
        </w:tc>
        <w:tc>
          <w:tcPr>
            <w:tcW w:w="717" w:type="dxa"/>
            <w:tcBorders>
              <w:top w:val="nil"/>
              <w:left w:val="nil"/>
              <w:bottom w:val="single" w:sz="4" w:space="0" w:color="auto"/>
              <w:right w:val="single" w:sz="4" w:space="0" w:color="auto"/>
            </w:tcBorders>
            <w:shd w:val="clear" w:color="auto" w:fill="auto"/>
            <w:noWrap/>
            <w:vAlign w:val="bottom"/>
            <w:hideMark/>
          </w:tcPr>
          <w:p w14:paraId="30A23506"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1,800</w:t>
            </w:r>
          </w:p>
        </w:tc>
        <w:tc>
          <w:tcPr>
            <w:tcW w:w="717" w:type="dxa"/>
            <w:tcBorders>
              <w:top w:val="nil"/>
              <w:left w:val="nil"/>
              <w:bottom w:val="single" w:sz="4" w:space="0" w:color="auto"/>
              <w:right w:val="single" w:sz="4" w:space="0" w:color="auto"/>
            </w:tcBorders>
            <w:shd w:val="clear" w:color="auto" w:fill="auto"/>
            <w:noWrap/>
            <w:vAlign w:val="bottom"/>
            <w:hideMark/>
          </w:tcPr>
          <w:p w14:paraId="59D8F0AF"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3,000</w:t>
            </w:r>
          </w:p>
        </w:tc>
        <w:tc>
          <w:tcPr>
            <w:tcW w:w="717" w:type="dxa"/>
            <w:tcBorders>
              <w:top w:val="nil"/>
              <w:left w:val="nil"/>
              <w:bottom w:val="single" w:sz="4" w:space="0" w:color="auto"/>
              <w:right w:val="single" w:sz="4" w:space="0" w:color="auto"/>
            </w:tcBorders>
            <w:shd w:val="clear" w:color="auto" w:fill="auto"/>
            <w:noWrap/>
            <w:vAlign w:val="bottom"/>
            <w:hideMark/>
          </w:tcPr>
          <w:p w14:paraId="72965911"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2,400</w:t>
            </w:r>
          </w:p>
        </w:tc>
        <w:tc>
          <w:tcPr>
            <w:tcW w:w="717" w:type="dxa"/>
            <w:tcBorders>
              <w:top w:val="nil"/>
              <w:left w:val="nil"/>
              <w:bottom w:val="single" w:sz="4" w:space="0" w:color="auto"/>
              <w:right w:val="single" w:sz="4" w:space="0" w:color="auto"/>
            </w:tcBorders>
            <w:shd w:val="clear" w:color="auto" w:fill="auto"/>
            <w:noWrap/>
            <w:vAlign w:val="bottom"/>
            <w:hideMark/>
          </w:tcPr>
          <w:p w14:paraId="0CE3C5CF"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2,300</w:t>
            </w:r>
          </w:p>
        </w:tc>
        <w:tc>
          <w:tcPr>
            <w:tcW w:w="717" w:type="dxa"/>
            <w:tcBorders>
              <w:top w:val="nil"/>
              <w:left w:val="nil"/>
              <w:bottom w:val="single" w:sz="4" w:space="0" w:color="auto"/>
              <w:right w:val="single" w:sz="4" w:space="0" w:color="auto"/>
            </w:tcBorders>
            <w:shd w:val="clear" w:color="auto" w:fill="auto"/>
            <w:noWrap/>
            <w:vAlign w:val="bottom"/>
            <w:hideMark/>
          </w:tcPr>
          <w:p w14:paraId="19284794"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 xml:space="preserve">       2,000 </w:t>
            </w:r>
          </w:p>
        </w:tc>
        <w:tc>
          <w:tcPr>
            <w:tcW w:w="717" w:type="dxa"/>
            <w:tcBorders>
              <w:top w:val="nil"/>
              <w:left w:val="nil"/>
              <w:bottom w:val="single" w:sz="4" w:space="0" w:color="auto"/>
              <w:right w:val="single" w:sz="4" w:space="0" w:color="auto"/>
            </w:tcBorders>
            <w:shd w:val="clear" w:color="auto" w:fill="auto"/>
            <w:noWrap/>
            <w:vAlign w:val="bottom"/>
            <w:hideMark/>
          </w:tcPr>
          <w:p w14:paraId="394EC724"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1,600</w:t>
            </w:r>
          </w:p>
        </w:tc>
        <w:tc>
          <w:tcPr>
            <w:tcW w:w="717" w:type="dxa"/>
            <w:tcBorders>
              <w:top w:val="nil"/>
              <w:left w:val="nil"/>
              <w:bottom w:val="single" w:sz="4" w:space="0" w:color="auto"/>
              <w:right w:val="single" w:sz="4" w:space="0" w:color="auto"/>
            </w:tcBorders>
            <w:shd w:val="clear" w:color="auto" w:fill="auto"/>
            <w:noWrap/>
            <w:vAlign w:val="bottom"/>
            <w:hideMark/>
          </w:tcPr>
          <w:p w14:paraId="1E3A89C5"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 xml:space="preserve">       1,500 </w:t>
            </w:r>
          </w:p>
        </w:tc>
        <w:tc>
          <w:tcPr>
            <w:tcW w:w="717" w:type="dxa"/>
            <w:tcBorders>
              <w:top w:val="nil"/>
              <w:left w:val="nil"/>
              <w:bottom w:val="single" w:sz="4" w:space="0" w:color="auto"/>
              <w:right w:val="single" w:sz="4" w:space="0" w:color="auto"/>
            </w:tcBorders>
            <w:shd w:val="clear" w:color="auto" w:fill="auto"/>
            <w:noWrap/>
            <w:vAlign w:val="bottom"/>
            <w:hideMark/>
          </w:tcPr>
          <w:p w14:paraId="46C40E4D"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1,250</w:t>
            </w:r>
          </w:p>
        </w:tc>
        <w:tc>
          <w:tcPr>
            <w:tcW w:w="663" w:type="dxa"/>
            <w:tcBorders>
              <w:top w:val="nil"/>
              <w:left w:val="nil"/>
              <w:bottom w:val="single" w:sz="4" w:space="0" w:color="auto"/>
              <w:right w:val="single" w:sz="4" w:space="0" w:color="auto"/>
            </w:tcBorders>
            <w:shd w:val="clear" w:color="auto" w:fill="auto"/>
            <w:noWrap/>
            <w:vAlign w:val="bottom"/>
            <w:hideMark/>
          </w:tcPr>
          <w:p w14:paraId="6A65819A" w14:textId="77777777" w:rsidR="00177486" w:rsidRPr="00177486" w:rsidRDefault="00177486" w:rsidP="00FF0997">
            <w:pPr>
              <w:widowControl/>
              <w:jc w:val="right"/>
              <w:rPr>
                <w:rFonts w:eastAsia="Times New Roman" w:cs="Times New Roman"/>
                <w:color w:val="000000"/>
              </w:rPr>
            </w:pPr>
            <w:r w:rsidRPr="00177486">
              <w:rPr>
                <w:rFonts w:eastAsia="Times New Roman" w:cs="Times New Roman"/>
                <w:color w:val="000000"/>
              </w:rPr>
              <w:t>1,000</w:t>
            </w:r>
          </w:p>
        </w:tc>
      </w:tr>
    </w:tbl>
    <w:p w14:paraId="093AC5D2" w14:textId="77777777" w:rsidR="00177486" w:rsidRPr="00177486" w:rsidRDefault="00177486" w:rsidP="00177486">
      <w:pPr>
        <w:pStyle w:val="BodyText"/>
        <w:spacing w:line="276" w:lineRule="auto"/>
        <w:rPr>
          <w:rFonts w:asciiTheme="minorHAnsi" w:hAnsiTheme="minorHAnsi"/>
        </w:rPr>
      </w:pPr>
    </w:p>
    <w:p w14:paraId="2EC3B1C0" w14:textId="77777777" w:rsidR="00177486" w:rsidRPr="00177486" w:rsidRDefault="00177486" w:rsidP="00177486">
      <w:pPr>
        <w:pStyle w:val="BodyText"/>
        <w:spacing w:line="276" w:lineRule="auto"/>
        <w:rPr>
          <w:rFonts w:asciiTheme="minorHAnsi" w:hAnsiTheme="minorHAnsi"/>
        </w:rPr>
      </w:pPr>
      <w:r w:rsidRPr="00177486">
        <w:rPr>
          <w:rFonts w:asciiTheme="minorHAnsi" w:hAnsiTheme="minorHAnsi"/>
        </w:rPr>
        <w:t>FW has a very strong distribution network so maintains an inventory of only 5% of next months anticipated sales. The actual units of inventory projected to be on hand on July 1, 2017 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891"/>
      </w:tblGrid>
      <w:tr w:rsidR="00177486" w:rsidRPr="00177486" w14:paraId="0C32FDA0" w14:textId="77777777" w:rsidTr="00FF0997">
        <w:trPr>
          <w:trHeight w:val="72"/>
          <w:jc w:val="center"/>
        </w:trPr>
        <w:tc>
          <w:tcPr>
            <w:tcW w:w="1709" w:type="dxa"/>
          </w:tcPr>
          <w:p w14:paraId="2486EFE3" w14:textId="77777777" w:rsidR="00177486" w:rsidRPr="00177486" w:rsidRDefault="00177486" w:rsidP="00FF0997">
            <w:pPr>
              <w:spacing w:before="100" w:beforeAutospacing="1" w:after="100" w:afterAutospacing="1" w:line="276" w:lineRule="auto"/>
              <w:rPr>
                <w:rFonts w:asciiTheme="minorHAnsi" w:hAnsiTheme="minorHAnsi"/>
              </w:rPr>
            </w:pPr>
          </w:p>
        </w:tc>
        <w:tc>
          <w:tcPr>
            <w:tcW w:w="1891" w:type="dxa"/>
          </w:tcPr>
          <w:p w14:paraId="67ADA8D6" w14:textId="77777777" w:rsidR="00177486" w:rsidRPr="00177486" w:rsidRDefault="00177486" w:rsidP="00FF0997">
            <w:pPr>
              <w:pStyle w:val="TableParagraph"/>
              <w:spacing w:before="100" w:beforeAutospacing="1" w:after="100" w:afterAutospacing="1" w:line="276" w:lineRule="auto"/>
              <w:ind w:hanging="2"/>
              <w:jc w:val="center"/>
              <w:rPr>
                <w:rFonts w:asciiTheme="minorHAnsi" w:hAnsiTheme="minorHAnsi"/>
                <w:b/>
              </w:rPr>
            </w:pPr>
            <w:r w:rsidRPr="00177486">
              <w:rPr>
                <w:rFonts w:asciiTheme="minorHAnsi" w:hAnsiTheme="minorHAnsi"/>
                <w:b/>
              </w:rPr>
              <w:t>Boxes on Hand</w:t>
            </w:r>
          </w:p>
        </w:tc>
      </w:tr>
      <w:tr w:rsidR="00177486" w:rsidRPr="00177486" w14:paraId="5B3960AE" w14:textId="77777777" w:rsidTr="00FF0997">
        <w:trPr>
          <w:trHeight w:val="72"/>
          <w:jc w:val="center"/>
        </w:trPr>
        <w:tc>
          <w:tcPr>
            <w:tcW w:w="1709" w:type="dxa"/>
          </w:tcPr>
          <w:p w14:paraId="1B389B79" w14:textId="77777777" w:rsidR="00177486" w:rsidRPr="00177486" w:rsidRDefault="00177486" w:rsidP="00FF0997">
            <w:pPr>
              <w:pStyle w:val="TableParagraph"/>
              <w:spacing w:before="100" w:beforeAutospacing="1" w:after="100" w:afterAutospacing="1" w:line="276" w:lineRule="auto"/>
              <w:rPr>
                <w:rFonts w:asciiTheme="minorHAnsi" w:hAnsiTheme="minorHAnsi"/>
              </w:rPr>
            </w:pPr>
            <w:r w:rsidRPr="00177486">
              <w:rPr>
                <w:rFonts w:asciiTheme="minorHAnsi" w:hAnsiTheme="minorHAnsi"/>
              </w:rPr>
              <w:t>Spinners</w:t>
            </w:r>
          </w:p>
        </w:tc>
        <w:tc>
          <w:tcPr>
            <w:tcW w:w="1891" w:type="dxa"/>
          </w:tcPr>
          <w:p w14:paraId="65B13B36" w14:textId="77777777" w:rsidR="00177486" w:rsidRPr="00177486" w:rsidRDefault="00177486" w:rsidP="00FF0997">
            <w:pPr>
              <w:pStyle w:val="TableParagraph"/>
              <w:spacing w:before="100" w:beforeAutospacing="1" w:after="100" w:afterAutospacing="1" w:line="276" w:lineRule="auto"/>
              <w:jc w:val="center"/>
              <w:rPr>
                <w:rFonts w:asciiTheme="minorHAnsi" w:hAnsiTheme="minorHAnsi"/>
              </w:rPr>
            </w:pPr>
            <w:r w:rsidRPr="00177486">
              <w:rPr>
                <w:rFonts w:asciiTheme="minorHAnsi" w:hAnsiTheme="minorHAnsi"/>
              </w:rPr>
              <w:t>400</w:t>
            </w:r>
          </w:p>
        </w:tc>
      </w:tr>
      <w:tr w:rsidR="00177486" w:rsidRPr="00177486" w14:paraId="77FB767E" w14:textId="77777777" w:rsidTr="00FF0997">
        <w:trPr>
          <w:trHeight w:val="72"/>
          <w:jc w:val="center"/>
        </w:trPr>
        <w:tc>
          <w:tcPr>
            <w:tcW w:w="1709" w:type="dxa"/>
          </w:tcPr>
          <w:p w14:paraId="433ED9CA" w14:textId="77777777" w:rsidR="00177486" w:rsidRPr="00177486" w:rsidRDefault="00177486" w:rsidP="00FF0997">
            <w:pPr>
              <w:pStyle w:val="TableParagraph"/>
              <w:spacing w:before="100" w:beforeAutospacing="1" w:after="100" w:afterAutospacing="1" w:line="276" w:lineRule="auto"/>
              <w:rPr>
                <w:rFonts w:asciiTheme="minorHAnsi" w:hAnsiTheme="minorHAnsi"/>
              </w:rPr>
            </w:pPr>
            <w:r w:rsidRPr="00177486">
              <w:rPr>
                <w:rFonts w:asciiTheme="minorHAnsi" w:hAnsiTheme="minorHAnsi"/>
              </w:rPr>
              <w:t>Cubes</w:t>
            </w:r>
          </w:p>
        </w:tc>
        <w:tc>
          <w:tcPr>
            <w:tcW w:w="1891" w:type="dxa"/>
          </w:tcPr>
          <w:p w14:paraId="5D35E768" w14:textId="77777777" w:rsidR="00177486" w:rsidRPr="00177486" w:rsidRDefault="00177486" w:rsidP="00FF0997">
            <w:pPr>
              <w:pStyle w:val="TableParagraph"/>
              <w:spacing w:before="100" w:beforeAutospacing="1" w:after="100" w:afterAutospacing="1" w:line="276" w:lineRule="auto"/>
              <w:jc w:val="center"/>
              <w:rPr>
                <w:rFonts w:asciiTheme="minorHAnsi" w:hAnsiTheme="minorHAnsi"/>
              </w:rPr>
            </w:pPr>
            <w:r w:rsidRPr="00177486">
              <w:rPr>
                <w:rFonts w:asciiTheme="minorHAnsi" w:hAnsiTheme="minorHAnsi"/>
              </w:rPr>
              <w:t>300</w:t>
            </w:r>
          </w:p>
        </w:tc>
      </w:tr>
    </w:tbl>
    <w:p w14:paraId="04FDA754" w14:textId="77777777" w:rsidR="00177486" w:rsidRPr="00177486" w:rsidRDefault="00177486" w:rsidP="00177486">
      <w:pPr>
        <w:pStyle w:val="BodyText"/>
        <w:spacing w:before="100" w:beforeAutospacing="1" w:after="100" w:afterAutospacing="1" w:line="276" w:lineRule="auto"/>
        <w:rPr>
          <w:rFonts w:asciiTheme="minorHAnsi" w:hAnsiTheme="minorHAnsi"/>
        </w:rPr>
      </w:pPr>
      <w:r w:rsidRPr="00177486">
        <w:rPr>
          <w:rFonts w:asciiTheme="minorHAnsi" w:hAnsiTheme="minorHAnsi"/>
        </w:rPr>
        <w:t xml:space="preserve">The currently selling prices of the widgets are </w:t>
      </w:r>
      <w:r w:rsidRPr="00177486">
        <w:rPr>
          <w:rFonts w:asciiTheme="minorHAnsi" w:hAnsiTheme="minorHAnsi"/>
          <w:b/>
        </w:rPr>
        <w:t>$125</w:t>
      </w:r>
      <w:r w:rsidRPr="00177486">
        <w:rPr>
          <w:rFonts w:asciiTheme="minorHAnsi" w:hAnsiTheme="minorHAnsi"/>
        </w:rPr>
        <w:t xml:space="preserve">for a box of Spinners and </w:t>
      </w:r>
      <w:r w:rsidRPr="00177486">
        <w:rPr>
          <w:rFonts w:asciiTheme="minorHAnsi" w:hAnsiTheme="minorHAnsi"/>
          <w:b/>
        </w:rPr>
        <w:t>$160</w:t>
      </w:r>
      <w:r w:rsidRPr="00177486">
        <w:rPr>
          <w:rFonts w:asciiTheme="minorHAnsi" w:hAnsiTheme="minorHAnsi"/>
        </w:rPr>
        <w:t xml:space="preserve"> per box of cubes. However, with so many new entrants into the market, FW has decided to stimulate sales in time for the holidays by decreasing these prices by 10% from November 1, 2017to January 31, 2018 for both kinds of widgets. The resulting impact in units sold during these months is already reflected in the forecast above.  You are also provided with the following cost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20"/>
      </w:tblGrid>
      <w:tr w:rsidR="00177486" w:rsidRPr="00177486" w14:paraId="3FA50C8E" w14:textId="77777777" w:rsidTr="00FF0997">
        <w:trPr>
          <w:trHeight w:hRule="exact" w:val="316"/>
          <w:jc w:val="center"/>
        </w:trPr>
        <w:tc>
          <w:tcPr>
            <w:tcW w:w="1890" w:type="dxa"/>
          </w:tcPr>
          <w:p w14:paraId="1208F631" w14:textId="77777777" w:rsidR="00177486" w:rsidRPr="00177486" w:rsidRDefault="00177486" w:rsidP="00FF0997">
            <w:pPr>
              <w:pStyle w:val="TableParagraph"/>
              <w:spacing w:before="100" w:beforeAutospacing="1" w:after="100" w:afterAutospacing="1" w:line="276" w:lineRule="auto"/>
              <w:rPr>
                <w:rFonts w:asciiTheme="minorHAnsi" w:hAnsiTheme="minorHAnsi"/>
              </w:rPr>
            </w:pPr>
          </w:p>
        </w:tc>
        <w:tc>
          <w:tcPr>
            <w:tcW w:w="1620" w:type="dxa"/>
          </w:tcPr>
          <w:p w14:paraId="7CD983DF" w14:textId="77777777" w:rsidR="00177486" w:rsidRPr="00177486" w:rsidRDefault="00177486" w:rsidP="00FF0997">
            <w:pPr>
              <w:pStyle w:val="TableParagraph"/>
              <w:spacing w:before="100" w:beforeAutospacing="1" w:after="100" w:afterAutospacing="1" w:line="276" w:lineRule="auto"/>
              <w:jc w:val="center"/>
              <w:rPr>
                <w:rFonts w:asciiTheme="minorHAnsi" w:hAnsiTheme="minorHAnsi"/>
                <w:b/>
              </w:rPr>
            </w:pPr>
            <w:r w:rsidRPr="00177486">
              <w:rPr>
                <w:rFonts w:asciiTheme="minorHAnsi" w:hAnsiTheme="minorHAnsi"/>
                <w:b/>
              </w:rPr>
              <w:t>Cost per Box</w:t>
            </w:r>
          </w:p>
        </w:tc>
      </w:tr>
      <w:tr w:rsidR="00177486" w:rsidRPr="00177486" w14:paraId="1ADFE48D" w14:textId="77777777" w:rsidTr="00FF0997">
        <w:trPr>
          <w:trHeight w:hRule="exact" w:val="310"/>
          <w:jc w:val="center"/>
        </w:trPr>
        <w:tc>
          <w:tcPr>
            <w:tcW w:w="1890" w:type="dxa"/>
          </w:tcPr>
          <w:p w14:paraId="39DF77E2" w14:textId="77777777" w:rsidR="00177486" w:rsidRPr="00177486" w:rsidRDefault="00177486" w:rsidP="00FF0997">
            <w:pPr>
              <w:pStyle w:val="TableParagraph"/>
              <w:spacing w:before="100" w:beforeAutospacing="1" w:after="100" w:afterAutospacing="1" w:line="276" w:lineRule="auto"/>
              <w:rPr>
                <w:rFonts w:asciiTheme="minorHAnsi" w:hAnsiTheme="minorHAnsi"/>
              </w:rPr>
            </w:pPr>
            <w:r w:rsidRPr="00177486">
              <w:rPr>
                <w:rFonts w:asciiTheme="minorHAnsi" w:hAnsiTheme="minorHAnsi"/>
              </w:rPr>
              <w:t>Spinners</w:t>
            </w:r>
          </w:p>
        </w:tc>
        <w:tc>
          <w:tcPr>
            <w:tcW w:w="1620" w:type="dxa"/>
          </w:tcPr>
          <w:p w14:paraId="4D06D9D7" w14:textId="77777777" w:rsidR="00177486" w:rsidRPr="00177486" w:rsidRDefault="00177486" w:rsidP="00FF0997">
            <w:pPr>
              <w:pStyle w:val="TableParagraph"/>
              <w:spacing w:before="100" w:beforeAutospacing="1" w:after="100" w:afterAutospacing="1" w:line="276" w:lineRule="auto"/>
              <w:jc w:val="center"/>
              <w:rPr>
                <w:rFonts w:asciiTheme="minorHAnsi" w:hAnsiTheme="minorHAnsi"/>
              </w:rPr>
            </w:pPr>
            <w:r w:rsidRPr="00177486">
              <w:rPr>
                <w:rFonts w:asciiTheme="minorHAnsi" w:hAnsiTheme="minorHAnsi"/>
              </w:rPr>
              <w:t>$105</w:t>
            </w:r>
          </w:p>
        </w:tc>
      </w:tr>
      <w:tr w:rsidR="00177486" w:rsidRPr="00177486" w14:paraId="10E5C7D7" w14:textId="77777777" w:rsidTr="00FF0997">
        <w:trPr>
          <w:trHeight w:hRule="exact" w:val="312"/>
          <w:jc w:val="center"/>
        </w:trPr>
        <w:tc>
          <w:tcPr>
            <w:tcW w:w="1890" w:type="dxa"/>
            <w:tcBorders>
              <w:bottom w:val="single" w:sz="4" w:space="0" w:color="000000"/>
            </w:tcBorders>
          </w:tcPr>
          <w:p w14:paraId="1A4FA7BA" w14:textId="77777777" w:rsidR="00177486" w:rsidRPr="00177486" w:rsidRDefault="00177486" w:rsidP="00FF0997">
            <w:pPr>
              <w:pStyle w:val="TableParagraph"/>
              <w:spacing w:before="100" w:beforeAutospacing="1" w:after="100" w:afterAutospacing="1" w:line="276" w:lineRule="auto"/>
              <w:rPr>
                <w:rFonts w:asciiTheme="minorHAnsi" w:hAnsiTheme="minorHAnsi"/>
              </w:rPr>
            </w:pPr>
            <w:r w:rsidRPr="00177486">
              <w:rPr>
                <w:rFonts w:asciiTheme="minorHAnsi" w:hAnsiTheme="minorHAnsi"/>
              </w:rPr>
              <w:t>Cubes</w:t>
            </w:r>
          </w:p>
        </w:tc>
        <w:tc>
          <w:tcPr>
            <w:tcW w:w="1620" w:type="dxa"/>
            <w:tcBorders>
              <w:bottom w:val="single" w:sz="4" w:space="0" w:color="000000"/>
            </w:tcBorders>
          </w:tcPr>
          <w:p w14:paraId="7CE24E61" w14:textId="77777777" w:rsidR="00177486" w:rsidRPr="00177486" w:rsidRDefault="00177486" w:rsidP="00FF0997">
            <w:pPr>
              <w:pStyle w:val="TableParagraph"/>
              <w:spacing w:before="100" w:beforeAutospacing="1" w:after="100" w:afterAutospacing="1" w:line="276" w:lineRule="auto"/>
              <w:jc w:val="center"/>
              <w:rPr>
                <w:rFonts w:asciiTheme="minorHAnsi" w:hAnsiTheme="minorHAnsi"/>
              </w:rPr>
            </w:pPr>
            <w:r w:rsidRPr="00177486">
              <w:rPr>
                <w:rFonts w:asciiTheme="minorHAnsi" w:hAnsiTheme="minorHAnsi"/>
              </w:rPr>
              <w:t>$120</w:t>
            </w:r>
          </w:p>
        </w:tc>
      </w:tr>
    </w:tbl>
    <w:p w14:paraId="5A304C76" w14:textId="77777777" w:rsidR="00ED3D1E" w:rsidRPr="00177486" w:rsidRDefault="007D7D65"/>
    <w:p w14:paraId="09F21E0B" w14:textId="77777777" w:rsidR="00177486" w:rsidRPr="00177486" w:rsidRDefault="00177486"/>
    <w:p w14:paraId="287730F0" w14:textId="77777777" w:rsidR="00177486" w:rsidRPr="00177486" w:rsidRDefault="00177486"/>
    <w:p w14:paraId="7F9D2FB7" w14:textId="77777777" w:rsidR="00177486" w:rsidRPr="00177486" w:rsidRDefault="00177486"/>
    <w:p w14:paraId="4C3C7917" w14:textId="77777777" w:rsidR="00177486" w:rsidRPr="00177486" w:rsidRDefault="00177486" w:rsidP="00177486">
      <w:pPr>
        <w:pStyle w:val="BodyText"/>
        <w:spacing w:before="100" w:beforeAutospacing="1" w:after="100" w:afterAutospacing="1" w:line="276" w:lineRule="auto"/>
        <w:rPr>
          <w:rFonts w:asciiTheme="minorHAnsi" w:hAnsiTheme="minorHAnsi"/>
        </w:rPr>
      </w:pPr>
      <w:r w:rsidRPr="00177486">
        <w:rPr>
          <w:rFonts w:asciiTheme="minorHAnsi" w:hAnsiTheme="minorHAnsi"/>
        </w:rPr>
        <w:lastRenderedPageBreak/>
        <w:t>To gain insights into the monthly operating expenses, you next meet with the controller and compile the following cost schedule:</w:t>
      </w:r>
    </w:p>
    <w:tbl>
      <w:tblPr>
        <w:tblStyle w:val="TableGrid"/>
        <w:tblW w:w="9175" w:type="dxa"/>
        <w:tblLook w:val="04A0" w:firstRow="1" w:lastRow="0" w:firstColumn="1" w:lastColumn="0" w:noHBand="0" w:noVBand="1"/>
      </w:tblPr>
      <w:tblGrid>
        <w:gridCol w:w="2965"/>
        <w:gridCol w:w="1170"/>
        <w:gridCol w:w="5040"/>
      </w:tblGrid>
      <w:tr w:rsidR="00177486" w:rsidRPr="00177486" w14:paraId="267A3D4D" w14:textId="77777777" w:rsidTr="00FF0997">
        <w:tc>
          <w:tcPr>
            <w:tcW w:w="2965" w:type="dxa"/>
          </w:tcPr>
          <w:p w14:paraId="46FE39B4"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Commissions</w:t>
            </w:r>
          </w:p>
        </w:tc>
        <w:tc>
          <w:tcPr>
            <w:tcW w:w="1170" w:type="dxa"/>
          </w:tcPr>
          <w:p w14:paraId="21F879C5" w14:textId="77777777" w:rsidR="00177486" w:rsidRPr="00177486" w:rsidRDefault="00177486" w:rsidP="00FF0997">
            <w:pPr>
              <w:pStyle w:val="BodyText"/>
              <w:spacing w:before="100" w:beforeAutospacing="1" w:after="100" w:afterAutospacing="1" w:line="276" w:lineRule="auto"/>
              <w:jc w:val="center"/>
              <w:rPr>
                <w:rFonts w:asciiTheme="minorHAnsi" w:hAnsiTheme="minorHAnsi"/>
                <w:sz w:val="22"/>
              </w:rPr>
            </w:pPr>
            <w:r w:rsidRPr="00177486">
              <w:rPr>
                <w:rFonts w:asciiTheme="minorHAnsi" w:hAnsiTheme="minorHAnsi"/>
                <w:sz w:val="22"/>
              </w:rPr>
              <w:t>1%</w:t>
            </w:r>
          </w:p>
        </w:tc>
        <w:tc>
          <w:tcPr>
            <w:tcW w:w="5040" w:type="dxa"/>
          </w:tcPr>
          <w:p w14:paraId="54644A10"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Of sales if monthly sales are less than $350,000</w:t>
            </w:r>
          </w:p>
        </w:tc>
      </w:tr>
      <w:tr w:rsidR="00177486" w:rsidRPr="00177486" w14:paraId="6BCA6832" w14:textId="77777777" w:rsidTr="00FF0997">
        <w:tc>
          <w:tcPr>
            <w:tcW w:w="2965" w:type="dxa"/>
          </w:tcPr>
          <w:p w14:paraId="3A8E859F"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Commissions</w:t>
            </w:r>
          </w:p>
        </w:tc>
        <w:tc>
          <w:tcPr>
            <w:tcW w:w="1170" w:type="dxa"/>
          </w:tcPr>
          <w:p w14:paraId="08A8E5A7" w14:textId="77777777" w:rsidR="00177486" w:rsidRPr="00177486" w:rsidRDefault="00177486" w:rsidP="00FF0997">
            <w:pPr>
              <w:pStyle w:val="BodyText"/>
              <w:spacing w:before="100" w:beforeAutospacing="1" w:after="100" w:afterAutospacing="1" w:line="276" w:lineRule="auto"/>
              <w:jc w:val="center"/>
              <w:rPr>
                <w:rFonts w:asciiTheme="minorHAnsi" w:hAnsiTheme="minorHAnsi"/>
                <w:sz w:val="22"/>
              </w:rPr>
            </w:pPr>
            <w:r w:rsidRPr="00177486">
              <w:rPr>
                <w:rFonts w:asciiTheme="minorHAnsi" w:hAnsiTheme="minorHAnsi"/>
                <w:sz w:val="22"/>
              </w:rPr>
              <w:t>5%</w:t>
            </w:r>
          </w:p>
        </w:tc>
        <w:tc>
          <w:tcPr>
            <w:tcW w:w="5040" w:type="dxa"/>
          </w:tcPr>
          <w:p w14:paraId="527EF6AF"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Of sales if monthly sales are greater or equal to $350,000</w:t>
            </w:r>
          </w:p>
        </w:tc>
      </w:tr>
      <w:tr w:rsidR="00177486" w:rsidRPr="00177486" w14:paraId="257B7BBE" w14:textId="77777777" w:rsidTr="00FF0997">
        <w:tc>
          <w:tcPr>
            <w:tcW w:w="2965" w:type="dxa"/>
          </w:tcPr>
          <w:p w14:paraId="4F0C3116"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Commissions</w:t>
            </w:r>
          </w:p>
        </w:tc>
        <w:tc>
          <w:tcPr>
            <w:tcW w:w="1170" w:type="dxa"/>
          </w:tcPr>
          <w:p w14:paraId="21C3FAA0" w14:textId="77777777" w:rsidR="00177486" w:rsidRPr="00177486" w:rsidRDefault="00177486" w:rsidP="00FF0997">
            <w:pPr>
              <w:pStyle w:val="BodyText"/>
              <w:spacing w:before="100" w:beforeAutospacing="1" w:after="100" w:afterAutospacing="1" w:line="276" w:lineRule="auto"/>
              <w:jc w:val="center"/>
              <w:rPr>
                <w:rFonts w:asciiTheme="minorHAnsi" w:hAnsiTheme="minorHAnsi"/>
                <w:sz w:val="22"/>
              </w:rPr>
            </w:pPr>
            <w:r w:rsidRPr="00177486">
              <w:rPr>
                <w:rFonts w:asciiTheme="minorHAnsi" w:hAnsiTheme="minorHAnsi"/>
                <w:sz w:val="22"/>
              </w:rPr>
              <w:t>9%</w:t>
            </w:r>
          </w:p>
        </w:tc>
        <w:tc>
          <w:tcPr>
            <w:tcW w:w="5040" w:type="dxa"/>
          </w:tcPr>
          <w:p w14:paraId="76729999"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Of sales if monthly sales are greater or equal to $550,000</w:t>
            </w:r>
          </w:p>
        </w:tc>
      </w:tr>
      <w:tr w:rsidR="00177486" w:rsidRPr="00177486" w14:paraId="15A62F64" w14:textId="77777777" w:rsidTr="00FF0997">
        <w:tc>
          <w:tcPr>
            <w:tcW w:w="2965" w:type="dxa"/>
          </w:tcPr>
          <w:p w14:paraId="0D46F6ED"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Shipping</w:t>
            </w:r>
          </w:p>
        </w:tc>
        <w:tc>
          <w:tcPr>
            <w:tcW w:w="1170" w:type="dxa"/>
          </w:tcPr>
          <w:p w14:paraId="767B9FD6" w14:textId="77777777" w:rsidR="00177486" w:rsidRPr="00177486" w:rsidRDefault="00177486" w:rsidP="00FF0997">
            <w:pPr>
              <w:pStyle w:val="BodyText"/>
              <w:spacing w:before="100" w:beforeAutospacing="1" w:after="100" w:afterAutospacing="1" w:line="276" w:lineRule="auto"/>
              <w:jc w:val="center"/>
              <w:rPr>
                <w:rFonts w:asciiTheme="minorHAnsi" w:hAnsiTheme="minorHAnsi"/>
                <w:sz w:val="22"/>
              </w:rPr>
            </w:pPr>
            <w:r w:rsidRPr="00177486">
              <w:rPr>
                <w:rFonts w:asciiTheme="minorHAnsi" w:hAnsiTheme="minorHAnsi"/>
                <w:sz w:val="22"/>
              </w:rPr>
              <w:t>5%</w:t>
            </w:r>
          </w:p>
        </w:tc>
        <w:tc>
          <w:tcPr>
            <w:tcW w:w="5040" w:type="dxa"/>
          </w:tcPr>
          <w:p w14:paraId="7FAFC85A"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of sales per month</w:t>
            </w:r>
          </w:p>
        </w:tc>
      </w:tr>
      <w:tr w:rsidR="00177486" w:rsidRPr="00177486" w14:paraId="68D31055" w14:textId="77777777" w:rsidTr="00FF0997">
        <w:tc>
          <w:tcPr>
            <w:tcW w:w="2965" w:type="dxa"/>
          </w:tcPr>
          <w:p w14:paraId="2374CB33"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Rent</w:t>
            </w:r>
          </w:p>
        </w:tc>
        <w:tc>
          <w:tcPr>
            <w:tcW w:w="1170" w:type="dxa"/>
          </w:tcPr>
          <w:p w14:paraId="52A41C06" w14:textId="77777777" w:rsidR="00177486" w:rsidRPr="00177486" w:rsidRDefault="00177486" w:rsidP="00FF0997">
            <w:pPr>
              <w:pStyle w:val="BodyText"/>
              <w:spacing w:before="100" w:beforeAutospacing="1" w:after="100" w:afterAutospacing="1" w:line="276" w:lineRule="auto"/>
              <w:jc w:val="right"/>
              <w:rPr>
                <w:rFonts w:asciiTheme="minorHAnsi" w:hAnsiTheme="minorHAnsi"/>
                <w:sz w:val="22"/>
              </w:rPr>
            </w:pPr>
            <w:r w:rsidRPr="00177486">
              <w:rPr>
                <w:rFonts w:asciiTheme="minorHAnsi" w:hAnsiTheme="minorHAnsi"/>
                <w:sz w:val="22"/>
              </w:rPr>
              <w:t>$  1,200</w:t>
            </w:r>
          </w:p>
        </w:tc>
        <w:tc>
          <w:tcPr>
            <w:tcW w:w="5040" w:type="dxa"/>
          </w:tcPr>
          <w:p w14:paraId="7CD3EA5E"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July to December, 2017</w:t>
            </w:r>
          </w:p>
        </w:tc>
      </w:tr>
      <w:tr w:rsidR="00177486" w:rsidRPr="00177486" w14:paraId="067D61B2" w14:textId="77777777" w:rsidTr="00FF0997">
        <w:tc>
          <w:tcPr>
            <w:tcW w:w="2965" w:type="dxa"/>
          </w:tcPr>
          <w:p w14:paraId="04267436"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Rent</w:t>
            </w:r>
          </w:p>
        </w:tc>
        <w:tc>
          <w:tcPr>
            <w:tcW w:w="1170" w:type="dxa"/>
          </w:tcPr>
          <w:p w14:paraId="5244DB3C" w14:textId="77777777" w:rsidR="00177486" w:rsidRPr="00177486" w:rsidRDefault="00177486" w:rsidP="00FF0997">
            <w:pPr>
              <w:pStyle w:val="BodyText"/>
              <w:spacing w:before="100" w:beforeAutospacing="1" w:after="100" w:afterAutospacing="1" w:line="276" w:lineRule="auto"/>
              <w:jc w:val="right"/>
              <w:rPr>
                <w:rFonts w:asciiTheme="minorHAnsi" w:hAnsiTheme="minorHAnsi"/>
                <w:sz w:val="22"/>
              </w:rPr>
            </w:pPr>
            <w:r w:rsidRPr="00177486">
              <w:rPr>
                <w:rFonts w:asciiTheme="minorHAnsi" w:hAnsiTheme="minorHAnsi"/>
                <w:sz w:val="22"/>
              </w:rPr>
              <w:t>$  3,000</w:t>
            </w:r>
          </w:p>
        </w:tc>
        <w:tc>
          <w:tcPr>
            <w:tcW w:w="5040" w:type="dxa"/>
          </w:tcPr>
          <w:p w14:paraId="369B7FAA"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per month beginning in January, 2018</w:t>
            </w:r>
          </w:p>
        </w:tc>
      </w:tr>
      <w:tr w:rsidR="00177486" w:rsidRPr="00177486" w14:paraId="25CEF8A9" w14:textId="77777777" w:rsidTr="00FF0997">
        <w:tc>
          <w:tcPr>
            <w:tcW w:w="2965" w:type="dxa"/>
          </w:tcPr>
          <w:p w14:paraId="1319A157"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Advertising Expense</w:t>
            </w:r>
          </w:p>
        </w:tc>
        <w:tc>
          <w:tcPr>
            <w:tcW w:w="1170" w:type="dxa"/>
          </w:tcPr>
          <w:p w14:paraId="594F3882" w14:textId="77777777" w:rsidR="00177486" w:rsidRPr="00177486" w:rsidRDefault="00177486" w:rsidP="00FF0997">
            <w:pPr>
              <w:pStyle w:val="BodyText"/>
              <w:spacing w:before="100" w:beforeAutospacing="1" w:after="100" w:afterAutospacing="1" w:line="276" w:lineRule="auto"/>
              <w:jc w:val="right"/>
              <w:rPr>
                <w:rFonts w:asciiTheme="minorHAnsi" w:hAnsiTheme="minorHAnsi"/>
                <w:sz w:val="22"/>
              </w:rPr>
            </w:pPr>
            <w:r w:rsidRPr="00177486">
              <w:rPr>
                <w:rFonts w:asciiTheme="minorHAnsi" w:hAnsiTheme="minorHAnsi"/>
                <w:sz w:val="22"/>
              </w:rPr>
              <w:t>$   1,100</w:t>
            </w:r>
          </w:p>
        </w:tc>
        <w:tc>
          <w:tcPr>
            <w:tcW w:w="5040" w:type="dxa"/>
          </w:tcPr>
          <w:p w14:paraId="4F37AC04"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per month except January and February</w:t>
            </w:r>
          </w:p>
        </w:tc>
      </w:tr>
      <w:tr w:rsidR="00177486" w:rsidRPr="00177486" w14:paraId="13F6010E" w14:textId="77777777" w:rsidTr="00FF0997">
        <w:tc>
          <w:tcPr>
            <w:tcW w:w="2965" w:type="dxa"/>
          </w:tcPr>
          <w:p w14:paraId="102631C1"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Advertising Expense</w:t>
            </w:r>
          </w:p>
        </w:tc>
        <w:tc>
          <w:tcPr>
            <w:tcW w:w="1170" w:type="dxa"/>
          </w:tcPr>
          <w:p w14:paraId="244F8218" w14:textId="77777777" w:rsidR="00177486" w:rsidRPr="00177486" w:rsidRDefault="00177486" w:rsidP="00FF0997">
            <w:pPr>
              <w:pStyle w:val="BodyText"/>
              <w:spacing w:before="100" w:beforeAutospacing="1" w:after="100" w:afterAutospacing="1" w:line="276" w:lineRule="auto"/>
              <w:jc w:val="right"/>
              <w:rPr>
                <w:rFonts w:asciiTheme="minorHAnsi" w:hAnsiTheme="minorHAnsi"/>
                <w:sz w:val="22"/>
              </w:rPr>
            </w:pPr>
            <w:r w:rsidRPr="00177486">
              <w:rPr>
                <w:rFonts w:asciiTheme="minorHAnsi" w:hAnsiTheme="minorHAnsi"/>
                <w:sz w:val="22"/>
              </w:rPr>
              <w:t>$    3,000</w:t>
            </w:r>
          </w:p>
        </w:tc>
        <w:tc>
          <w:tcPr>
            <w:tcW w:w="5040" w:type="dxa"/>
          </w:tcPr>
          <w:p w14:paraId="193EA96A"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January and February only</w:t>
            </w:r>
          </w:p>
        </w:tc>
      </w:tr>
      <w:tr w:rsidR="00177486" w:rsidRPr="00177486" w14:paraId="7A85BF51" w14:textId="77777777" w:rsidTr="00FF0997">
        <w:tc>
          <w:tcPr>
            <w:tcW w:w="2965" w:type="dxa"/>
          </w:tcPr>
          <w:p w14:paraId="5F933CBE"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Salaries Expense</w:t>
            </w:r>
          </w:p>
        </w:tc>
        <w:tc>
          <w:tcPr>
            <w:tcW w:w="1170" w:type="dxa"/>
          </w:tcPr>
          <w:p w14:paraId="2E8E29E1" w14:textId="77777777" w:rsidR="00177486" w:rsidRPr="00177486" w:rsidRDefault="00177486" w:rsidP="00FF0997">
            <w:pPr>
              <w:pStyle w:val="BodyText"/>
              <w:spacing w:before="100" w:beforeAutospacing="1" w:after="100" w:afterAutospacing="1" w:line="276" w:lineRule="auto"/>
              <w:jc w:val="right"/>
              <w:rPr>
                <w:rFonts w:asciiTheme="minorHAnsi" w:hAnsiTheme="minorHAnsi"/>
                <w:sz w:val="22"/>
              </w:rPr>
            </w:pPr>
            <w:r w:rsidRPr="00177486">
              <w:rPr>
                <w:rFonts w:asciiTheme="minorHAnsi" w:hAnsiTheme="minorHAnsi"/>
                <w:sz w:val="22"/>
              </w:rPr>
              <w:t>$  7,000</w:t>
            </w:r>
          </w:p>
        </w:tc>
        <w:tc>
          <w:tcPr>
            <w:tcW w:w="5040" w:type="dxa"/>
          </w:tcPr>
          <w:p w14:paraId="1EE962F3"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per month</w:t>
            </w:r>
          </w:p>
        </w:tc>
      </w:tr>
      <w:tr w:rsidR="00177486" w:rsidRPr="00177486" w14:paraId="70CC3C4B" w14:textId="77777777" w:rsidTr="00FF0997">
        <w:tc>
          <w:tcPr>
            <w:tcW w:w="2965" w:type="dxa"/>
          </w:tcPr>
          <w:p w14:paraId="78098BB8"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Utilities Expense</w:t>
            </w:r>
          </w:p>
        </w:tc>
        <w:tc>
          <w:tcPr>
            <w:tcW w:w="1170" w:type="dxa"/>
          </w:tcPr>
          <w:p w14:paraId="21421771" w14:textId="77777777" w:rsidR="00177486" w:rsidRPr="00177486" w:rsidRDefault="00177486" w:rsidP="00FF0997">
            <w:pPr>
              <w:pStyle w:val="BodyText"/>
              <w:spacing w:before="100" w:beforeAutospacing="1" w:after="100" w:afterAutospacing="1" w:line="276" w:lineRule="auto"/>
              <w:jc w:val="right"/>
              <w:rPr>
                <w:rFonts w:asciiTheme="minorHAnsi" w:hAnsiTheme="minorHAnsi"/>
                <w:sz w:val="22"/>
              </w:rPr>
            </w:pPr>
            <w:r w:rsidRPr="00177486">
              <w:rPr>
                <w:rFonts w:asciiTheme="minorHAnsi" w:hAnsiTheme="minorHAnsi"/>
                <w:sz w:val="22"/>
              </w:rPr>
              <w:t>$  1,200</w:t>
            </w:r>
          </w:p>
        </w:tc>
        <w:tc>
          <w:tcPr>
            <w:tcW w:w="5040" w:type="dxa"/>
          </w:tcPr>
          <w:p w14:paraId="7F8A1ECB"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per month</w:t>
            </w:r>
          </w:p>
        </w:tc>
      </w:tr>
      <w:tr w:rsidR="00177486" w:rsidRPr="00177486" w14:paraId="6547E3BD" w14:textId="77777777" w:rsidTr="00FF0997">
        <w:tc>
          <w:tcPr>
            <w:tcW w:w="2965" w:type="dxa"/>
          </w:tcPr>
          <w:p w14:paraId="6631EE79"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Insurance Expense</w:t>
            </w:r>
          </w:p>
        </w:tc>
        <w:tc>
          <w:tcPr>
            <w:tcW w:w="1170" w:type="dxa"/>
          </w:tcPr>
          <w:p w14:paraId="24968115" w14:textId="77777777" w:rsidR="00177486" w:rsidRPr="00177486" w:rsidRDefault="00177486" w:rsidP="00FF0997">
            <w:pPr>
              <w:pStyle w:val="BodyText"/>
              <w:spacing w:before="100" w:beforeAutospacing="1" w:after="100" w:afterAutospacing="1" w:line="276" w:lineRule="auto"/>
              <w:jc w:val="right"/>
              <w:rPr>
                <w:rFonts w:asciiTheme="minorHAnsi" w:hAnsiTheme="minorHAnsi"/>
                <w:sz w:val="22"/>
              </w:rPr>
            </w:pPr>
            <w:r w:rsidRPr="00177486">
              <w:rPr>
                <w:rFonts w:asciiTheme="minorHAnsi" w:hAnsiTheme="minorHAnsi"/>
                <w:sz w:val="22"/>
              </w:rPr>
              <w:t>$350</w:t>
            </w:r>
          </w:p>
        </w:tc>
        <w:tc>
          <w:tcPr>
            <w:tcW w:w="5040" w:type="dxa"/>
          </w:tcPr>
          <w:p w14:paraId="3CE2D666"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per month</w:t>
            </w:r>
          </w:p>
        </w:tc>
      </w:tr>
      <w:tr w:rsidR="00177486" w:rsidRPr="00177486" w14:paraId="3E7F04AD" w14:textId="77777777" w:rsidTr="00FF0997">
        <w:tc>
          <w:tcPr>
            <w:tcW w:w="2965" w:type="dxa"/>
          </w:tcPr>
          <w:p w14:paraId="11F8BDF4"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Depreciation expense</w:t>
            </w:r>
          </w:p>
        </w:tc>
        <w:tc>
          <w:tcPr>
            <w:tcW w:w="1170" w:type="dxa"/>
            <w:shd w:val="clear" w:color="auto" w:fill="D0CECE" w:themeFill="background2" w:themeFillShade="E6"/>
          </w:tcPr>
          <w:p w14:paraId="0E9BE986" w14:textId="77777777" w:rsidR="00177486" w:rsidRPr="00177486" w:rsidRDefault="00177486" w:rsidP="00FF0997">
            <w:pPr>
              <w:pStyle w:val="BodyText"/>
              <w:spacing w:before="100" w:beforeAutospacing="1" w:after="100" w:afterAutospacing="1" w:line="276" w:lineRule="auto"/>
              <w:jc w:val="center"/>
              <w:rPr>
                <w:rFonts w:asciiTheme="minorHAnsi" w:hAnsiTheme="minorHAnsi"/>
                <w:sz w:val="22"/>
              </w:rPr>
            </w:pPr>
          </w:p>
        </w:tc>
        <w:tc>
          <w:tcPr>
            <w:tcW w:w="5040" w:type="dxa"/>
          </w:tcPr>
          <w:p w14:paraId="0E5A6FC8"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per month (you will need to calculate)</w:t>
            </w:r>
          </w:p>
        </w:tc>
      </w:tr>
      <w:tr w:rsidR="00177486" w:rsidRPr="00177486" w14:paraId="4E6788C3" w14:textId="77777777" w:rsidTr="00FF0997">
        <w:tc>
          <w:tcPr>
            <w:tcW w:w="2965" w:type="dxa"/>
          </w:tcPr>
          <w:p w14:paraId="29E34374"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Mortgage Interest Expense</w:t>
            </w:r>
          </w:p>
        </w:tc>
        <w:tc>
          <w:tcPr>
            <w:tcW w:w="1170" w:type="dxa"/>
            <w:shd w:val="clear" w:color="auto" w:fill="D0CECE" w:themeFill="background2" w:themeFillShade="E6"/>
          </w:tcPr>
          <w:p w14:paraId="0E9F947B" w14:textId="77777777" w:rsidR="00177486" w:rsidRPr="00177486" w:rsidRDefault="00177486" w:rsidP="00FF0997">
            <w:pPr>
              <w:pStyle w:val="BodyText"/>
              <w:spacing w:before="100" w:beforeAutospacing="1" w:after="100" w:afterAutospacing="1" w:line="276" w:lineRule="auto"/>
              <w:jc w:val="center"/>
              <w:rPr>
                <w:rFonts w:asciiTheme="minorHAnsi" w:hAnsiTheme="minorHAnsi"/>
                <w:sz w:val="22"/>
              </w:rPr>
            </w:pPr>
          </w:p>
        </w:tc>
        <w:tc>
          <w:tcPr>
            <w:tcW w:w="5040" w:type="dxa"/>
          </w:tcPr>
          <w:p w14:paraId="1B0FF646" w14:textId="77777777" w:rsidR="00177486" w:rsidRPr="00177486" w:rsidRDefault="00177486" w:rsidP="00FF0997">
            <w:pPr>
              <w:pStyle w:val="BodyText"/>
              <w:spacing w:before="100" w:beforeAutospacing="1" w:after="100" w:afterAutospacing="1" w:line="276" w:lineRule="auto"/>
              <w:rPr>
                <w:rFonts w:asciiTheme="minorHAnsi" w:hAnsiTheme="minorHAnsi"/>
                <w:sz w:val="22"/>
              </w:rPr>
            </w:pPr>
            <w:r w:rsidRPr="00177486">
              <w:rPr>
                <w:rFonts w:asciiTheme="minorHAnsi" w:hAnsiTheme="minorHAnsi"/>
                <w:sz w:val="22"/>
              </w:rPr>
              <w:t>per month (you will need to calculate)</w:t>
            </w:r>
          </w:p>
        </w:tc>
      </w:tr>
    </w:tbl>
    <w:p w14:paraId="74F6768E" w14:textId="77777777" w:rsidR="00177486" w:rsidRPr="00177486" w:rsidRDefault="00177486" w:rsidP="00177486">
      <w:pPr>
        <w:pStyle w:val="BodyText"/>
        <w:spacing w:before="100" w:beforeAutospacing="1" w:after="100" w:afterAutospacing="1" w:line="276" w:lineRule="auto"/>
        <w:rPr>
          <w:rFonts w:asciiTheme="minorHAnsi" w:hAnsiTheme="minorHAnsi"/>
          <w:b/>
        </w:rPr>
      </w:pPr>
      <w:r w:rsidRPr="00177486">
        <w:rPr>
          <w:rFonts w:asciiTheme="minorHAnsi" w:hAnsiTheme="minorHAnsi"/>
          <w:b/>
        </w:rPr>
        <w:t>***The interest expense row in Plan A sheet must be linked (using cell reference) to the mortgage loan repayment sheet</w:t>
      </w:r>
    </w:p>
    <w:p w14:paraId="2E2F1DFF" w14:textId="77777777" w:rsidR="00177486" w:rsidRPr="00177486" w:rsidRDefault="00177486" w:rsidP="00177486">
      <w:pPr>
        <w:pStyle w:val="BodyText"/>
        <w:spacing w:before="100" w:beforeAutospacing="1" w:after="100" w:afterAutospacing="1" w:line="276" w:lineRule="auto"/>
        <w:rPr>
          <w:rFonts w:asciiTheme="minorHAnsi" w:hAnsiTheme="minorHAnsi"/>
        </w:rPr>
      </w:pPr>
      <w:r w:rsidRPr="00177486">
        <w:rPr>
          <w:rFonts w:asciiTheme="minorHAnsi" w:hAnsiTheme="minorHAnsi"/>
        </w:rPr>
        <w:t xml:space="preserve">In addition to these ongoing operating expenses, to accommodate the expansion, Fidget Widgets is also going to need to purchase the factory next door.  This building will cost $500,000. To purchase this, Fidget Widgets plans to borrow a first mortgage in the amount of $250,000 with an expected APR of 5% and will pay off this mortgage monthly over15 years. You will need to complete the mortgage repayment schedule to calculate the monthly interest costs. </w:t>
      </w:r>
    </w:p>
    <w:p w14:paraId="609E9594" w14:textId="77777777" w:rsidR="00177486" w:rsidRDefault="00177486" w:rsidP="00177486">
      <w:pPr>
        <w:pStyle w:val="BodyText"/>
        <w:spacing w:before="100" w:beforeAutospacing="1" w:after="100" w:afterAutospacing="1" w:line="276" w:lineRule="auto"/>
        <w:rPr>
          <w:rFonts w:asciiTheme="minorHAnsi" w:hAnsiTheme="minorHAnsi"/>
        </w:rPr>
      </w:pPr>
      <w:r w:rsidRPr="00177486">
        <w:rPr>
          <w:rFonts w:asciiTheme="minorHAnsi" w:hAnsiTheme="minorHAnsi"/>
        </w:rPr>
        <w:t>The factory is expected to have a residual value of $30,000 and useful life of 35 years.  You will also need to calculate the depreciation expense for this factory, using the straight-line depreciation method.  Assume the purchase of this factory will be made on July 1, 2017, and that loan payments will be made at the end of each month starting July 31, 2017.</w:t>
      </w:r>
    </w:p>
    <w:p w14:paraId="5CA8E2EF" w14:textId="77777777" w:rsidR="007D7D65" w:rsidRDefault="007D7D65" w:rsidP="00177486">
      <w:pPr>
        <w:pStyle w:val="BodyText"/>
        <w:spacing w:before="100" w:beforeAutospacing="1" w:after="100" w:afterAutospacing="1" w:line="276" w:lineRule="auto"/>
        <w:rPr>
          <w:rFonts w:asciiTheme="minorHAnsi" w:hAnsiTheme="minorHAnsi"/>
        </w:rPr>
      </w:pPr>
    </w:p>
    <w:p w14:paraId="5616E555" w14:textId="77777777" w:rsidR="007D7D65" w:rsidRDefault="007D7D65" w:rsidP="00177486">
      <w:pPr>
        <w:pStyle w:val="BodyText"/>
        <w:spacing w:before="100" w:beforeAutospacing="1" w:after="100" w:afterAutospacing="1" w:line="276" w:lineRule="auto"/>
        <w:rPr>
          <w:rFonts w:asciiTheme="minorHAnsi" w:hAnsiTheme="minorHAnsi"/>
        </w:rPr>
      </w:pPr>
    </w:p>
    <w:p w14:paraId="4768C70B" w14:textId="77777777" w:rsidR="007D7D65" w:rsidRPr="00177486" w:rsidRDefault="007D7D65" w:rsidP="00177486">
      <w:pPr>
        <w:pStyle w:val="BodyText"/>
        <w:spacing w:before="100" w:beforeAutospacing="1" w:after="100" w:afterAutospacing="1" w:line="276" w:lineRule="auto"/>
        <w:rPr>
          <w:rFonts w:asciiTheme="minorHAnsi" w:hAnsiTheme="minorHAnsi"/>
        </w:rPr>
      </w:pPr>
      <w:bookmarkStart w:id="0" w:name="_GoBack"/>
      <w:bookmarkEnd w:id="0"/>
    </w:p>
    <w:p w14:paraId="3EDD35B8" w14:textId="77777777" w:rsidR="00177486" w:rsidRPr="00177486" w:rsidRDefault="00177486" w:rsidP="00177486">
      <w:pPr>
        <w:pStyle w:val="BodyText"/>
        <w:spacing w:line="276" w:lineRule="auto"/>
        <w:rPr>
          <w:rFonts w:asciiTheme="minorHAnsi" w:hAnsiTheme="minorHAnsi"/>
        </w:rPr>
      </w:pPr>
      <w:r w:rsidRPr="00177486">
        <w:rPr>
          <w:rFonts w:asciiTheme="minorHAnsi" w:hAnsiTheme="minorHAnsi"/>
        </w:rPr>
        <w:t>Income taxes are levied according to the following table:</w:t>
      </w:r>
    </w:p>
    <w:tbl>
      <w:tblPr>
        <w:tblpPr w:leftFromText="180" w:rightFromText="180" w:vertAnchor="text" w:horzAnchor="page" w:tblpX="1786" w:tblpY="207"/>
        <w:tblW w:w="2785" w:type="dxa"/>
        <w:tblLook w:val="04A0" w:firstRow="1" w:lastRow="0" w:firstColumn="1" w:lastColumn="0" w:noHBand="0" w:noVBand="1"/>
      </w:tblPr>
      <w:tblGrid>
        <w:gridCol w:w="1540"/>
        <w:gridCol w:w="1245"/>
      </w:tblGrid>
      <w:tr w:rsidR="00177486" w:rsidRPr="00177486" w14:paraId="5523F21C" w14:textId="77777777" w:rsidTr="00FF0997">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29D59"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w w:val="110"/>
              </w:rPr>
              <w:t>Net Income</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D3B4071" w14:textId="77777777" w:rsidR="00177486" w:rsidRPr="00177486" w:rsidRDefault="00177486" w:rsidP="00FF0997">
            <w:pPr>
              <w:widowControl/>
              <w:jc w:val="center"/>
              <w:rPr>
                <w:rFonts w:eastAsia="Times New Roman" w:cs="Times New Roman"/>
                <w:b/>
                <w:bCs/>
                <w:color w:val="000000"/>
              </w:rPr>
            </w:pPr>
            <w:r w:rsidRPr="00177486">
              <w:rPr>
                <w:rFonts w:eastAsia="Times New Roman" w:cs="Times New Roman"/>
                <w:b/>
                <w:bCs/>
                <w:color w:val="000000"/>
                <w:w w:val="110"/>
              </w:rPr>
              <w:t>Tax Rate</w:t>
            </w:r>
          </w:p>
        </w:tc>
      </w:tr>
      <w:tr w:rsidR="00177486" w:rsidRPr="00177486" w14:paraId="40204A6A" w14:textId="77777777" w:rsidTr="00FF0997">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F0C0BD0" w14:textId="77777777" w:rsidR="00177486" w:rsidRPr="00177486" w:rsidRDefault="00177486" w:rsidP="00FF0997">
            <w:pPr>
              <w:widowControl/>
              <w:rPr>
                <w:rFonts w:eastAsia="Times New Roman" w:cs="Times New Roman"/>
                <w:color w:val="000000"/>
              </w:rPr>
            </w:pPr>
            <w:r w:rsidRPr="00177486">
              <w:rPr>
                <w:rFonts w:eastAsia="Times New Roman" w:cs="Times New Roman"/>
                <w:color w:val="000000"/>
              </w:rPr>
              <w:t xml:space="preserve"> $                    -   </w:t>
            </w:r>
          </w:p>
        </w:tc>
        <w:tc>
          <w:tcPr>
            <w:tcW w:w="1245" w:type="dxa"/>
            <w:tcBorders>
              <w:top w:val="nil"/>
              <w:left w:val="nil"/>
              <w:bottom w:val="single" w:sz="4" w:space="0" w:color="auto"/>
              <w:right w:val="single" w:sz="4" w:space="0" w:color="auto"/>
            </w:tcBorders>
            <w:shd w:val="clear" w:color="auto" w:fill="auto"/>
            <w:vAlign w:val="center"/>
            <w:hideMark/>
          </w:tcPr>
          <w:p w14:paraId="6C2E1D20" w14:textId="77777777" w:rsidR="00177486" w:rsidRPr="00177486" w:rsidRDefault="00177486" w:rsidP="00FF0997">
            <w:pPr>
              <w:widowControl/>
              <w:ind w:firstLineChars="100" w:firstLine="241"/>
              <w:jc w:val="right"/>
              <w:rPr>
                <w:rFonts w:eastAsia="Times New Roman" w:cs="Times New Roman"/>
                <w:color w:val="000000"/>
              </w:rPr>
            </w:pPr>
            <w:r w:rsidRPr="00177486">
              <w:rPr>
                <w:rFonts w:eastAsia="Times New Roman" w:cs="Times New Roman"/>
                <w:color w:val="000000"/>
                <w:w w:val="110"/>
              </w:rPr>
              <w:t>0.0%</w:t>
            </w:r>
          </w:p>
        </w:tc>
      </w:tr>
      <w:tr w:rsidR="00177486" w:rsidRPr="00177486" w14:paraId="6960F78E" w14:textId="77777777" w:rsidTr="00FF0997">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1D38CAA" w14:textId="77777777" w:rsidR="00177486" w:rsidRPr="00177486" w:rsidRDefault="00177486" w:rsidP="00FF0997">
            <w:pPr>
              <w:widowControl/>
              <w:rPr>
                <w:rFonts w:eastAsia="Times New Roman" w:cs="Times New Roman"/>
                <w:color w:val="000000"/>
              </w:rPr>
            </w:pPr>
            <w:r w:rsidRPr="00177486">
              <w:rPr>
                <w:rFonts w:eastAsia="Times New Roman" w:cs="Times New Roman"/>
                <w:color w:val="000000"/>
                <w:w w:val="110"/>
              </w:rPr>
              <w:t xml:space="preserve"> $        10,000 </w:t>
            </w:r>
          </w:p>
        </w:tc>
        <w:tc>
          <w:tcPr>
            <w:tcW w:w="1245" w:type="dxa"/>
            <w:tcBorders>
              <w:top w:val="nil"/>
              <w:left w:val="nil"/>
              <w:bottom w:val="single" w:sz="4" w:space="0" w:color="auto"/>
              <w:right w:val="single" w:sz="4" w:space="0" w:color="auto"/>
            </w:tcBorders>
            <w:shd w:val="clear" w:color="auto" w:fill="auto"/>
            <w:vAlign w:val="center"/>
            <w:hideMark/>
          </w:tcPr>
          <w:p w14:paraId="1BC82C87" w14:textId="77777777" w:rsidR="00177486" w:rsidRPr="00177486" w:rsidRDefault="00177486" w:rsidP="00FF0997">
            <w:pPr>
              <w:widowControl/>
              <w:ind w:firstLineChars="100" w:firstLine="241"/>
              <w:jc w:val="right"/>
              <w:rPr>
                <w:rFonts w:eastAsia="Times New Roman" w:cs="Times New Roman"/>
                <w:color w:val="000000"/>
              </w:rPr>
            </w:pPr>
            <w:r w:rsidRPr="00177486">
              <w:rPr>
                <w:rFonts w:eastAsia="Times New Roman" w:cs="Times New Roman"/>
                <w:color w:val="000000"/>
                <w:w w:val="110"/>
              </w:rPr>
              <w:t>9.5%</w:t>
            </w:r>
          </w:p>
        </w:tc>
      </w:tr>
      <w:tr w:rsidR="00177486" w:rsidRPr="00177486" w14:paraId="61C73B7A" w14:textId="77777777" w:rsidTr="00FF0997">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805EB7C" w14:textId="77777777" w:rsidR="00177486" w:rsidRPr="00177486" w:rsidRDefault="00177486" w:rsidP="00FF0997">
            <w:pPr>
              <w:widowControl/>
              <w:rPr>
                <w:rFonts w:eastAsia="Times New Roman" w:cs="Times New Roman"/>
                <w:color w:val="000000"/>
              </w:rPr>
            </w:pPr>
            <w:r w:rsidRPr="00177486">
              <w:rPr>
                <w:rFonts w:eastAsia="Times New Roman" w:cs="Times New Roman"/>
                <w:color w:val="000000"/>
                <w:w w:val="110"/>
              </w:rPr>
              <w:t xml:space="preserve"> $        20,000 </w:t>
            </w:r>
          </w:p>
        </w:tc>
        <w:tc>
          <w:tcPr>
            <w:tcW w:w="1245" w:type="dxa"/>
            <w:tcBorders>
              <w:top w:val="nil"/>
              <w:left w:val="nil"/>
              <w:bottom w:val="single" w:sz="4" w:space="0" w:color="auto"/>
              <w:right w:val="single" w:sz="4" w:space="0" w:color="auto"/>
            </w:tcBorders>
            <w:shd w:val="clear" w:color="auto" w:fill="auto"/>
            <w:vAlign w:val="center"/>
            <w:hideMark/>
          </w:tcPr>
          <w:p w14:paraId="2627D947" w14:textId="77777777" w:rsidR="00177486" w:rsidRPr="00177486" w:rsidRDefault="00177486" w:rsidP="00FF0997">
            <w:pPr>
              <w:widowControl/>
              <w:ind w:firstLineChars="100" w:firstLine="241"/>
              <w:jc w:val="right"/>
              <w:rPr>
                <w:rFonts w:eastAsia="Times New Roman" w:cs="Times New Roman"/>
                <w:color w:val="000000"/>
              </w:rPr>
            </w:pPr>
            <w:r w:rsidRPr="00177486">
              <w:rPr>
                <w:rFonts w:eastAsia="Times New Roman" w:cs="Times New Roman"/>
                <w:color w:val="000000"/>
                <w:w w:val="110"/>
              </w:rPr>
              <w:t>10.0%</w:t>
            </w:r>
          </w:p>
        </w:tc>
      </w:tr>
      <w:tr w:rsidR="00177486" w:rsidRPr="00177486" w14:paraId="30099A1C" w14:textId="77777777" w:rsidTr="00FF0997">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341AA7C" w14:textId="77777777" w:rsidR="00177486" w:rsidRPr="00177486" w:rsidRDefault="00177486" w:rsidP="00FF0997">
            <w:pPr>
              <w:widowControl/>
              <w:rPr>
                <w:rFonts w:eastAsia="Times New Roman" w:cs="Times New Roman"/>
                <w:color w:val="000000"/>
              </w:rPr>
            </w:pPr>
            <w:r w:rsidRPr="00177486">
              <w:rPr>
                <w:rFonts w:eastAsia="Times New Roman" w:cs="Times New Roman"/>
                <w:color w:val="000000"/>
                <w:w w:val="110"/>
              </w:rPr>
              <w:t xml:space="preserve"> $        30,000 </w:t>
            </w:r>
          </w:p>
        </w:tc>
        <w:tc>
          <w:tcPr>
            <w:tcW w:w="1245" w:type="dxa"/>
            <w:tcBorders>
              <w:top w:val="nil"/>
              <w:left w:val="nil"/>
              <w:bottom w:val="single" w:sz="4" w:space="0" w:color="auto"/>
              <w:right w:val="single" w:sz="4" w:space="0" w:color="auto"/>
            </w:tcBorders>
            <w:shd w:val="clear" w:color="auto" w:fill="auto"/>
            <w:vAlign w:val="center"/>
            <w:hideMark/>
          </w:tcPr>
          <w:p w14:paraId="793637DA" w14:textId="77777777" w:rsidR="00177486" w:rsidRPr="00177486" w:rsidRDefault="00177486" w:rsidP="00FF0997">
            <w:pPr>
              <w:widowControl/>
              <w:ind w:firstLineChars="100" w:firstLine="241"/>
              <w:jc w:val="right"/>
              <w:rPr>
                <w:rFonts w:eastAsia="Times New Roman" w:cs="Times New Roman"/>
                <w:color w:val="000000"/>
              </w:rPr>
            </w:pPr>
            <w:r w:rsidRPr="00177486">
              <w:rPr>
                <w:rFonts w:eastAsia="Times New Roman" w:cs="Times New Roman"/>
                <w:color w:val="000000"/>
                <w:w w:val="110"/>
              </w:rPr>
              <w:t>20.0%</w:t>
            </w:r>
          </w:p>
        </w:tc>
      </w:tr>
      <w:tr w:rsidR="00177486" w:rsidRPr="00177486" w14:paraId="0FD23462" w14:textId="77777777" w:rsidTr="00FF0997">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B69FE02" w14:textId="77777777" w:rsidR="00177486" w:rsidRPr="00177486" w:rsidRDefault="00177486" w:rsidP="00FF0997">
            <w:pPr>
              <w:widowControl/>
              <w:rPr>
                <w:rFonts w:eastAsia="Times New Roman" w:cs="Times New Roman"/>
                <w:color w:val="000000"/>
              </w:rPr>
            </w:pPr>
            <w:r w:rsidRPr="00177486">
              <w:rPr>
                <w:rFonts w:eastAsia="Times New Roman" w:cs="Times New Roman"/>
                <w:color w:val="000000"/>
                <w:w w:val="110"/>
              </w:rPr>
              <w:t xml:space="preserve"> $        40,000 </w:t>
            </w:r>
          </w:p>
        </w:tc>
        <w:tc>
          <w:tcPr>
            <w:tcW w:w="1245" w:type="dxa"/>
            <w:tcBorders>
              <w:top w:val="nil"/>
              <w:left w:val="nil"/>
              <w:bottom w:val="single" w:sz="4" w:space="0" w:color="auto"/>
              <w:right w:val="single" w:sz="4" w:space="0" w:color="auto"/>
            </w:tcBorders>
            <w:shd w:val="clear" w:color="auto" w:fill="auto"/>
            <w:vAlign w:val="center"/>
            <w:hideMark/>
          </w:tcPr>
          <w:p w14:paraId="2C428AC3" w14:textId="77777777" w:rsidR="00177486" w:rsidRPr="00177486" w:rsidRDefault="00177486" w:rsidP="00FF0997">
            <w:pPr>
              <w:widowControl/>
              <w:ind w:firstLineChars="100" w:firstLine="241"/>
              <w:jc w:val="right"/>
              <w:rPr>
                <w:rFonts w:eastAsia="Times New Roman" w:cs="Times New Roman"/>
                <w:color w:val="000000"/>
              </w:rPr>
            </w:pPr>
            <w:r w:rsidRPr="00177486">
              <w:rPr>
                <w:rFonts w:eastAsia="Times New Roman" w:cs="Times New Roman"/>
                <w:color w:val="000000"/>
                <w:w w:val="110"/>
              </w:rPr>
              <w:t>25.0%</w:t>
            </w:r>
          </w:p>
        </w:tc>
      </w:tr>
      <w:tr w:rsidR="00177486" w:rsidRPr="00177486" w14:paraId="64A8F230" w14:textId="77777777" w:rsidTr="00FF0997">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E304967" w14:textId="77777777" w:rsidR="00177486" w:rsidRPr="00177486" w:rsidRDefault="00177486" w:rsidP="00FF0997">
            <w:pPr>
              <w:widowControl/>
              <w:rPr>
                <w:rFonts w:eastAsia="Times New Roman" w:cs="Times New Roman"/>
                <w:color w:val="000000"/>
              </w:rPr>
            </w:pPr>
            <w:r w:rsidRPr="00177486">
              <w:rPr>
                <w:rFonts w:eastAsia="Times New Roman" w:cs="Times New Roman"/>
                <w:color w:val="000000"/>
                <w:w w:val="110"/>
              </w:rPr>
              <w:t xml:space="preserve"> $        50,000 </w:t>
            </w:r>
          </w:p>
        </w:tc>
        <w:tc>
          <w:tcPr>
            <w:tcW w:w="1245" w:type="dxa"/>
            <w:tcBorders>
              <w:top w:val="nil"/>
              <w:left w:val="nil"/>
              <w:bottom w:val="single" w:sz="4" w:space="0" w:color="auto"/>
              <w:right w:val="single" w:sz="4" w:space="0" w:color="auto"/>
            </w:tcBorders>
            <w:shd w:val="clear" w:color="auto" w:fill="auto"/>
            <w:vAlign w:val="center"/>
            <w:hideMark/>
          </w:tcPr>
          <w:p w14:paraId="6D7CB7ED" w14:textId="77777777" w:rsidR="00177486" w:rsidRPr="00177486" w:rsidRDefault="00177486" w:rsidP="00FF0997">
            <w:pPr>
              <w:widowControl/>
              <w:ind w:firstLineChars="100" w:firstLine="241"/>
              <w:jc w:val="right"/>
              <w:rPr>
                <w:rFonts w:eastAsia="Times New Roman" w:cs="Times New Roman"/>
                <w:color w:val="000000"/>
              </w:rPr>
            </w:pPr>
            <w:r w:rsidRPr="00177486">
              <w:rPr>
                <w:rFonts w:eastAsia="Times New Roman" w:cs="Times New Roman"/>
                <w:color w:val="000000"/>
                <w:w w:val="110"/>
              </w:rPr>
              <w:t>50.0%</w:t>
            </w:r>
          </w:p>
        </w:tc>
      </w:tr>
    </w:tbl>
    <w:p w14:paraId="405FF547" w14:textId="77777777" w:rsidR="00177486" w:rsidRPr="00177486" w:rsidRDefault="00177486" w:rsidP="00177486">
      <w:pPr>
        <w:pStyle w:val="BodyText"/>
        <w:spacing w:before="100" w:beforeAutospacing="1" w:after="100" w:afterAutospacing="1" w:line="276" w:lineRule="auto"/>
        <w:rPr>
          <w:rFonts w:asciiTheme="minorHAnsi" w:hAnsiTheme="minorHAnsi"/>
        </w:rPr>
      </w:pPr>
    </w:p>
    <w:p w14:paraId="3C517677" w14:textId="77777777" w:rsidR="00177486" w:rsidRPr="00561E10" w:rsidRDefault="00177486" w:rsidP="00177486">
      <w:pPr>
        <w:pStyle w:val="BodyText"/>
        <w:spacing w:before="100" w:beforeAutospacing="1" w:after="100" w:afterAutospacing="1" w:line="276" w:lineRule="auto"/>
        <w:rPr>
          <w:rFonts w:asciiTheme="minorHAnsi" w:hAnsiTheme="minorHAnsi"/>
          <w:i/>
        </w:rPr>
      </w:pPr>
      <w:r w:rsidRPr="00177486">
        <w:rPr>
          <w:rFonts w:asciiTheme="minorHAnsi" w:hAnsiTheme="minorHAnsi"/>
          <w:i/>
        </w:rPr>
        <w:t>Note:  If net income is less than $0, the company will receive an income tax refund based on the rates outlined on this same table.</w:t>
      </w:r>
    </w:p>
    <w:p w14:paraId="1C3A8C9F" w14:textId="77777777" w:rsidR="00177486" w:rsidRDefault="00177486"/>
    <w:p w14:paraId="0D317DFE" w14:textId="77777777" w:rsidR="00177486" w:rsidRDefault="00177486"/>
    <w:p w14:paraId="3EBB1EAA" w14:textId="77777777" w:rsidR="00177486" w:rsidRPr="00E46434" w:rsidRDefault="00177486" w:rsidP="00177486">
      <w:pPr>
        <w:pStyle w:val="BodyText"/>
        <w:pBdr>
          <w:bottom w:val="single" w:sz="4" w:space="1" w:color="auto"/>
        </w:pBdr>
        <w:spacing w:before="100" w:beforeAutospacing="1" w:after="100" w:afterAutospacing="1" w:line="276" w:lineRule="auto"/>
        <w:rPr>
          <w:b/>
          <w:sz w:val="28"/>
        </w:rPr>
      </w:pPr>
      <w:r w:rsidRPr="00E46434">
        <w:rPr>
          <w:b/>
          <w:sz w:val="28"/>
        </w:rPr>
        <w:t>REQUIREMENTS</w:t>
      </w:r>
    </w:p>
    <w:p w14:paraId="2B942BBD" w14:textId="77777777" w:rsidR="00177486" w:rsidRPr="00177486" w:rsidRDefault="00177486" w:rsidP="00177486">
      <w:pPr>
        <w:pStyle w:val="Heading1"/>
        <w:spacing w:before="100" w:beforeAutospacing="1" w:after="100" w:afterAutospacing="1" w:line="276" w:lineRule="auto"/>
        <w:ind w:left="0" w:right="0"/>
        <w:rPr>
          <w:rFonts w:asciiTheme="minorHAnsi" w:hAnsiTheme="minorHAnsi"/>
          <w:u w:val="none"/>
        </w:rPr>
      </w:pPr>
      <w:r w:rsidRPr="00177486">
        <w:rPr>
          <w:rFonts w:asciiTheme="minorHAnsi" w:hAnsiTheme="minorHAnsi"/>
        </w:rPr>
        <w:t>E</w:t>
      </w:r>
      <w:r w:rsidRPr="00177486">
        <w:rPr>
          <w:rFonts w:asciiTheme="minorHAnsi" w:hAnsiTheme="minorHAnsi"/>
        </w:rPr>
        <w:t>nter all relevant assignment data on the “Plan A assumptions” worksheet and then cell reference this data to prepare the budgets on the “Plan A” worksheet and the Mortgage Repayment tab. You must cell reference your data from the assumptions tab!</w:t>
      </w:r>
    </w:p>
    <w:p w14:paraId="6E5EAC2D" w14:textId="77777777" w:rsidR="00177486" w:rsidRPr="00177486" w:rsidRDefault="00177486" w:rsidP="00177486">
      <w:pPr>
        <w:pStyle w:val="ListParagraph"/>
        <w:numPr>
          <w:ilvl w:val="0"/>
          <w:numId w:val="1"/>
        </w:numPr>
        <w:tabs>
          <w:tab w:val="left" w:pos="821"/>
        </w:tabs>
        <w:spacing w:before="100" w:beforeAutospacing="1" w:after="100" w:afterAutospacing="1" w:line="276" w:lineRule="auto"/>
        <w:rPr>
          <w:rFonts w:asciiTheme="minorHAnsi" w:hAnsiTheme="minorHAnsi"/>
          <w:sz w:val="24"/>
        </w:rPr>
      </w:pPr>
      <w:r w:rsidRPr="00177486">
        <w:rPr>
          <w:rFonts w:asciiTheme="minorHAnsi" w:hAnsiTheme="minorHAnsi"/>
          <w:sz w:val="24"/>
        </w:rPr>
        <w:t>Sales Budget</w:t>
      </w:r>
    </w:p>
    <w:p w14:paraId="4100353B" w14:textId="77777777" w:rsidR="00177486" w:rsidRPr="00177486" w:rsidRDefault="00177486" w:rsidP="00177486">
      <w:pPr>
        <w:pStyle w:val="ListParagraph"/>
        <w:numPr>
          <w:ilvl w:val="0"/>
          <w:numId w:val="1"/>
        </w:numPr>
        <w:tabs>
          <w:tab w:val="left" w:pos="821"/>
        </w:tabs>
        <w:spacing w:before="100" w:beforeAutospacing="1" w:after="100" w:afterAutospacing="1" w:line="276" w:lineRule="auto"/>
        <w:rPr>
          <w:rFonts w:asciiTheme="minorHAnsi" w:hAnsiTheme="minorHAnsi"/>
          <w:sz w:val="24"/>
        </w:rPr>
      </w:pPr>
      <w:r w:rsidRPr="00177486">
        <w:rPr>
          <w:rFonts w:asciiTheme="minorHAnsi" w:hAnsiTheme="minorHAnsi"/>
          <w:sz w:val="24"/>
        </w:rPr>
        <w:t>Purchases Budget</w:t>
      </w:r>
    </w:p>
    <w:p w14:paraId="4006EE14" w14:textId="77777777" w:rsidR="00177486" w:rsidRPr="00177486" w:rsidRDefault="00177486" w:rsidP="00177486">
      <w:pPr>
        <w:pStyle w:val="ListParagraph"/>
        <w:numPr>
          <w:ilvl w:val="0"/>
          <w:numId w:val="1"/>
        </w:numPr>
        <w:tabs>
          <w:tab w:val="left" w:pos="821"/>
        </w:tabs>
        <w:spacing w:before="100" w:beforeAutospacing="1" w:after="100" w:afterAutospacing="1" w:line="276" w:lineRule="auto"/>
        <w:rPr>
          <w:rFonts w:asciiTheme="minorHAnsi" w:hAnsiTheme="minorHAnsi"/>
          <w:sz w:val="24"/>
        </w:rPr>
      </w:pPr>
      <w:r w:rsidRPr="00177486">
        <w:rPr>
          <w:rFonts w:asciiTheme="minorHAnsi" w:hAnsiTheme="minorHAnsi"/>
          <w:sz w:val="24"/>
        </w:rPr>
        <w:t>Operating Expenses Budget</w:t>
      </w:r>
    </w:p>
    <w:p w14:paraId="64E84058" w14:textId="77777777" w:rsidR="00177486" w:rsidRPr="00177486" w:rsidRDefault="00177486" w:rsidP="00177486">
      <w:pPr>
        <w:pStyle w:val="ListParagraph"/>
        <w:numPr>
          <w:ilvl w:val="0"/>
          <w:numId w:val="1"/>
        </w:numPr>
        <w:tabs>
          <w:tab w:val="left" w:pos="821"/>
        </w:tabs>
        <w:spacing w:before="100" w:beforeAutospacing="1" w:after="100" w:afterAutospacing="1" w:line="276" w:lineRule="auto"/>
        <w:rPr>
          <w:rFonts w:asciiTheme="minorHAnsi" w:hAnsiTheme="minorHAnsi"/>
          <w:sz w:val="24"/>
        </w:rPr>
      </w:pPr>
      <w:r w:rsidRPr="00177486">
        <w:rPr>
          <w:rFonts w:asciiTheme="minorHAnsi" w:hAnsiTheme="minorHAnsi"/>
          <w:sz w:val="24"/>
        </w:rPr>
        <w:t>Budgeted Income Statement</w:t>
      </w:r>
    </w:p>
    <w:p w14:paraId="3CF949F5" w14:textId="77777777" w:rsidR="00177486" w:rsidRPr="00177486" w:rsidRDefault="00177486" w:rsidP="00177486">
      <w:pPr>
        <w:pStyle w:val="ListParagraph"/>
        <w:numPr>
          <w:ilvl w:val="0"/>
          <w:numId w:val="1"/>
        </w:numPr>
        <w:tabs>
          <w:tab w:val="left" w:pos="821"/>
        </w:tabs>
        <w:spacing w:before="100" w:beforeAutospacing="1" w:after="100" w:afterAutospacing="1" w:line="276" w:lineRule="auto"/>
        <w:rPr>
          <w:rFonts w:asciiTheme="minorHAnsi" w:hAnsiTheme="minorHAnsi"/>
          <w:sz w:val="24"/>
        </w:rPr>
      </w:pPr>
      <w:r w:rsidRPr="00177486">
        <w:rPr>
          <w:rFonts w:asciiTheme="minorHAnsi" w:hAnsiTheme="minorHAnsi"/>
          <w:sz w:val="24"/>
        </w:rPr>
        <w:t>Mortgage Loan Repayment Schedule</w:t>
      </w:r>
    </w:p>
    <w:p w14:paraId="42971B9D" w14:textId="77777777" w:rsidR="00177486" w:rsidRDefault="00177486" w:rsidP="00177486">
      <w:pPr>
        <w:pStyle w:val="BodyText"/>
        <w:spacing w:before="100" w:beforeAutospacing="1" w:after="100" w:afterAutospacing="1" w:line="276" w:lineRule="auto"/>
        <w:rPr>
          <w:rFonts w:asciiTheme="minorHAnsi" w:hAnsiTheme="minorHAnsi"/>
        </w:rPr>
      </w:pPr>
      <w:r w:rsidRPr="00177486">
        <w:rPr>
          <w:rFonts w:asciiTheme="minorHAnsi" w:hAnsiTheme="minorHAnsi"/>
        </w:rPr>
        <w:t>In the existing “</w:t>
      </w:r>
      <w:r w:rsidRPr="00177486">
        <w:rPr>
          <w:rFonts w:asciiTheme="minorHAnsi" w:hAnsiTheme="minorHAnsi"/>
          <w:b/>
        </w:rPr>
        <w:t>Column Chart</w:t>
      </w:r>
      <w:r w:rsidRPr="00177486">
        <w:rPr>
          <w:rFonts w:asciiTheme="minorHAnsi" w:hAnsiTheme="minorHAnsi"/>
        </w:rPr>
        <w:t xml:space="preserve">” worksheet, prepare a </w:t>
      </w:r>
      <w:r w:rsidRPr="00177486">
        <w:rPr>
          <w:rFonts w:asciiTheme="minorHAnsi" w:hAnsiTheme="minorHAnsi"/>
          <w:b/>
        </w:rPr>
        <w:t>3dSTACKED BAR CHART</w:t>
      </w:r>
      <w:r w:rsidRPr="00177486">
        <w:rPr>
          <w:rFonts w:asciiTheme="minorHAnsi" w:hAnsiTheme="minorHAnsi"/>
        </w:rPr>
        <w:t xml:space="preserve"> comparing unit sales for each type of fidget toy for each month. Your chart must be professional in appearance, and contain all necessary headings and labels including a title, a legend, a data table or data labels and axis titles, where applicable. Your chart must directly reference your budget data/assumptions. </w:t>
      </w:r>
      <w:r w:rsidRPr="00177486">
        <w:rPr>
          <w:rFonts w:asciiTheme="minorHAnsi" w:hAnsiTheme="minorHAnsi"/>
          <w:u w:val="single"/>
        </w:rPr>
        <w:t>Position your chart in cells A3to O28.</w:t>
      </w:r>
    </w:p>
    <w:p w14:paraId="3A0B272F" w14:textId="77777777" w:rsidR="00177486" w:rsidRDefault="00177486"/>
    <w:sectPr w:rsidR="00177486" w:rsidSect="00B36F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713CFE"/>
    <w:multiLevelType w:val="hybridMultilevel"/>
    <w:tmpl w:val="1DCEBAE0"/>
    <w:lvl w:ilvl="0" w:tplc="04090011">
      <w:start w:val="1"/>
      <w:numFmt w:val="decimal"/>
      <w:lvlText w:val="%1)"/>
      <w:lvlJc w:val="left"/>
      <w:pPr>
        <w:ind w:left="820" w:hanging="360"/>
      </w:pPr>
      <w:rPr>
        <w:rFonts w:hint="default"/>
        <w:spacing w:val="-3"/>
        <w:w w:val="100"/>
        <w:sz w:val="24"/>
        <w:szCs w:val="24"/>
      </w:rPr>
    </w:lvl>
    <w:lvl w:ilvl="1" w:tplc="ED402FEE">
      <w:start w:val="1"/>
      <w:numFmt w:val="bullet"/>
      <w:lvlText w:val="•"/>
      <w:lvlJc w:val="left"/>
      <w:pPr>
        <w:ind w:left="1690" w:hanging="360"/>
      </w:pPr>
      <w:rPr>
        <w:rFonts w:hint="default"/>
      </w:rPr>
    </w:lvl>
    <w:lvl w:ilvl="2" w:tplc="2EF2717A">
      <w:start w:val="1"/>
      <w:numFmt w:val="bullet"/>
      <w:lvlText w:val="•"/>
      <w:lvlJc w:val="left"/>
      <w:pPr>
        <w:ind w:left="2560" w:hanging="360"/>
      </w:pPr>
      <w:rPr>
        <w:rFonts w:hint="default"/>
      </w:rPr>
    </w:lvl>
    <w:lvl w:ilvl="3" w:tplc="F2F8AD70">
      <w:start w:val="1"/>
      <w:numFmt w:val="bullet"/>
      <w:lvlText w:val="•"/>
      <w:lvlJc w:val="left"/>
      <w:pPr>
        <w:ind w:left="3430" w:hanging="360"/>
      </w:pPr>
      <w:rPr>
        <w:rFonts w:hint="default"/>
      </w:rPr>
    </w:lvl>
    <w:lvl w:ilvl="4" w:tplc="3AA08ACA">
      <w:start w:val="1"/>
      <w:numFmt w:val="bullet"/>
      <w:lvlText w:val="•"/>
      <w:lvlJc w:val="left"/>
      <w:pPr>
        <w:ind w:left="4300" w:hanging="360"/>
      </w:pPr>
      <w:rPr>
        <w:rFonts w:hint="default"/>
      </w:rPr>
    </w:lvl>
    <w:lvl w:ilvl="5" w:tplc="09F0AC1A">
      <w:start w:val="1"/>
      <w:numFmt w:val="bullet"/>
      <w:lvlText w:val="•"/>
      <w:lvlJc w:val="left"/>
      <w:pPr>
        <w:ind w:left="5170" w:hanging="360"/>
      </w:pPr>
      <w:rPr>
        <w:rFonts w:hint="default"/>
      </w:rPr>
    </w:lvl>
    <w:lvl w:ilvl="6" w:tplc="D48EE194">
      <w:start w:val="1"/>
      <w:numFmt w:val="bullet"/>
      <w:lvlText w:val="•"/>
      <w:lvlJc w:val="left"/>
      <w:pPr>
        <w:ind w:left="6040" w:hanging="360"/>
      </w:pPr>
      <w:rPr>
        <w:rFonts w:hint="default"/>
      </w:rPr>
    </w:lvl>
    <w:lvl w:ilvl="7" w:tplc="A014A2D2">
      <w:start w:val="1"/>
      <w:numFmt w:val="bullet"/>
      <w:lvlText w:val="•"/>
      <w:lvlJc w:val="left"/>
      <w:pPr>
        <w:ind w:left="6910" w:hanging="360"/>
      </w:pPr>
      <w:rPr>
        <w:rFonts w:hint="default"/>
      </w:rPr>
    </w:lvl>
    <w:lvl w:ilvl="8" w:tplc="C114CACE">
      <w:start w:val="1"/>
      <w:numFmt w:val="bullet"/>
      <w:lvlText w:val="•"/>
      <w:lvlJc w:val="left"/>
      <w:pPr>
        <w:ind w:left="77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86"/>
    <w:rsid w:val="00177486"/>
    <w:rsid w:val="00271423"/>
    <w:rsid w:val="007D7D65"/>
    <w:rsid w:val="00B3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0CD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177486"/>
    <w:pPr>
      <w:widowControl w:val="0"/>
    </w:pPr>
    <w:rPr>
      <w:rFonts w:ascii="Calibri" w:eastAsia="Calibri" w:hAnsi="Calibri" w:cs="Calibri"/>
      <w:sz w:val="22"/>
      <w:szCs w:val="22"/>
    </w:rPr>
  </w:style>
  <w:style w:type="paragraph" w:styleId="Heading1">
    <w:name w:val="heading 1"/>
    <w:basedOn w:val="Normal"/>
    <w:link w:val="Heading1Char"/>
    <w:uiPriority w:val="1"/>
    <w:qFormat/>
    <w:rsid w:val="00177486"/>
    <w:pPr>
      <w:spacing w:before="1"/>
      <w:ind w:left="100" w:right="37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7486"/>
    <w:rPr>
      <w:sz w:val="24"/>
      <w:szCs w:val="24"/>
    </w:rPr>
  </w:style>
  <w:style w:type="character" w:customStyle="1" w:styleId="BodyTextChar">
    <w:name w:val="Body Text Char"/>
    <w:basedOn w:val="DefaultParagraphFont"/>
    <w:link w:val="BodyText"/>
    <w:uiPriority w:val="1"/>
    <w:rsid w:val="00177486"/>
    <w:rPr>
      <w:rFonts w:ascii="Calibri" w:eastAsia="Calibri" w:hAnsi="Calibri" w:cs="Calibri"/>
    </w:rPr>
  </w:style>
  <w:style w:type="paragraph" w:customStyle="1" w:styleId="TableParagraph">
    <w:name w:val="Table Paragraph"/>
    <w:basedOn w:val="Normal"/>
    <w:uiPriority w:val="1"/>
    <w:qFormat/>
    <w:rsid w:val="00177486"/>
    <w:pPr>
      <w:spacing w:before="11"/>
    </w:pPr>
  </w:style>
  <w:style w:type="table" w:styleId="TableGrid">
    <w:name w:val="Table Grid"/>
    <w:basedOn w:val="TableNormal"/>
    <w:uiPriority w:val="39"/>
    <w:rsid w:val="0017748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177486"/>
    <w:rPr>
      <w:rFonts w:ascii="Calibri" w:eastAsia="Calibri" w:hAnsi="Calibri" w:cs="Calibri"/>
      <w:b/>
      <w:bCs/>
      <w:u w:val="single" w:color="000000"/>
    </w:rPr>
  </w:style>
  <w:style w:type="paragraph" w:styleId="ListParagraph">
    <w:name w:val="List Paragraph"/>
    <w:basedOn w:val="Normal"/>
    <w:uiPriority w:val="1"/>
    <w:qFormat/>
    <w:rsid w:val="00177486"/>
    <w:pPr>
      <w:ind w:left="8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4083</Characters>
  <Application>Microsoft Macintosh Word</Application>
  <DocSecurity>0</DocSecurity>
  <Lines>34</Lines>
  <Paragraphs>9</Paragraphs>
  <ScaleCrop>false</ScaleCrop>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ngoc quach</dc:creator>
  <cp:keywords/>
  <dc:description/>
  <cp:lastModifiedBy>bao ngoc quach</cp:lastModifiedBy>
  <cp:revision>2</cp:revision>
  <dcterms:created xsi:type="dcterms:W3CDTF">2017-06-13T10:41:00Z</dcterms:created>
  <dcterms:modified xsi:type="dcterms:W3CDTF">2017-06-13T10:44:00Z</dcterms:modified>
</cp:coreProperties>
</file>