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02DE" w:rsidRDefault="00D702DE">
      <w:pPr>
        <w:pStyle w:val="BodyText"/>
        <w:rPr>
          <w:sz w:val="16"/>
        </w:rPr>
      </w:pPr>
    </w:p>
    <w:p w:rsidR="00D702DE" w:rsidRDefault="00D702DE">
      <w:pPr>
        <w:pStyle w:val="BodyText"/>
        <w:rPr>
          <w:sz w:val="16"/>
        </w:rPr>
      </w:pPr>
    </w:p>
    <w:p w:rsidR="00D702DE" w:rsidRDefault="00D702DE">
      <w:pPr>
        <w:pStyle w:val="BodyText"/>
        <w:rPr>
          <w:sz w:val="16"/>
        </w:rPr>
      </w:pPr>
    </w:p>
    <w:p w:rsidR="00D702DE" w:rsidRDefault="00D702DE">
      <w:pPr>
        <w:pStyle w:val="BodyText"/>
        <w:rPr>
          <w:sz w:val="16"/>
        </w:rPr>
      </w:pPr>
    </w:p>
    <w:p w:rsidR="00D702DE" w:rsidRDefault="00D702DE">
      <w:pPr>
        <w:pStyle w:val="BodyText"/>
        <w:rPr>
          <w:sz w:val="16"/>
        </w:rPr>
      </w:pPr>
    </w:p>
    <w:p w:rsidR="00D702DE" w:rsidRDefault="00D702DE">
      <w:pPr>
        <w:pStyle w:val="BodyText"/>
        <w:rPr>
          <w:sz w:val="16"/>
        </w:rPr>
      </w:pPr>
    </w:p>
    <w:p w:rsidR="00D702DE" w:rsidRDefault="00D702DE">
      <w:pPr>
        <w:pStyle w:val="BodyText"/>
        <w:rPr>
          <w:sz w:val="16"/>
        </w:rPr>
      </w:pPr>
    </w:p>
    <w:p w:rsidR="00D702DE" w:rsidRDefault="00D702DE">
      <w:pPr>
        <w:pStyle w:val="BodyText"/>
        <w:spacing w:before="9"/>
      </w:pPr>
    </w:p>
    <w:p w:rsidR="00D702DE" w:rsidRDefault="00514EB8">
      <w:pPr>
        <w:ind w:left="3681" w:right="3844"/>
        <w:jc w:val="center"/>
        <w:rPr>
          <w:rFonts w:ascii="Arial"/>
          <w:b/>
          <w:sz w:val="36"/>
        </w:rPr>
      </w:pPr>
      <w:r>
        <w:rPr>
          <w:rFonts w:ascii="Arial"/>
          <w:b/>
          <w:sz w:val="36"/>
        </w:rPr>
        <w:t>Nucleon, Inc.</w:t>
      </w:r>
    </w:p>
    <w:p w:rsidR="00D702DE" w:rsidRDefault="00D702DE">
      <w:pPr>
        <w:pStyle w:val="BodyText"/>
        <w:spacing w:before="9"/>
        <w:rPr>
          <w:rFonts w:ascii="Arial"/>
          <w:b/>
          <w:sz w:val="25"/>
        </w:rPr>
      </w:pPr>
    </w:p>
    <w:p w:rsidR="00D702DE" w:rsidRDefault="00514EB8">
      <w:pPr>
        <w:pStyle w:val="BodyText"/>
        <w:spacing w:before="67" w:line="232" w:lineRule="auto"/>
        <w:ind w:left="1020" w:right="1157" w:firstLine="719"/>
        <w:jc w:val="both"/>
      </w:pPr>
      <w:r>
        <w:t xml:space="preserve">Robert Moore, a recent graduate of a top-ranked M.B.A. program, now realized what it was like to be on the other side of a case study. It was </w:t>
      </w:r>
      <w:r>
        <w:t>December 1990 and Nucleon, the young biotechnology start-up at which he had recently become project manager, faced critical  manufacturing choices. Moore and Jeff Hurst, the firm’s CEO, had met to discuss the situation, and within the next few weeks, Hurst</w:t>
      </w:r>
      <w:r>
        <w:t xml:space="preserve"> needed to present the company’s manufacturing strategy to the board of directors. In the meantime, he asked Moore to evaluate in detail Nucleon’s options and give his own</w:t>
      </w:r>
      <w:r>
        <w:rPr>
          <w:spacing w:val="-14"/>
        </w:rPr>
        <w:t xml:space="preserve"> </w:t>
      </w:r>
      <w:r>
        <w:t>recommendation.</w:t>
      </w:r>
    </w:p>
    <w:p w:rsidR="00D702DE" w:rsidRDefault="00D702DE">
      <w:pPr>
        <w:pStyle w:val="BodyText"/>
        <w:spacing w:before="3"/>
        <w:rPr>
          <w:sz w:val="19"/>
        </w:rPr>
      </w:pPr>
    </w:p>
    <w:p w:rsidR="00D702DE" w:rsidRDefault="00514EB8">
      <w:pPr>
        <w:pStyle w:val="BodyText"/>
        <w:spacing w:line="235" w:lineRule="auto"/>
        <w:ind w:left="1020" w:right="1175" w:firstLine="719"/>
        <w:jc w:val="both"/>
        <w:rPr>
          <w:sz w:val="16"/>
        </w:rPr>
      </w:pPr>
      <w:r>
        <w:t>Nucleon’s first potential product, “cell regulating protein-1” (CRP</w:t>
      </w:r>
      <w:r>
        <w:t xml:space="preserve">-1), had been undergoing extensive experimentation and analysis in the company’s R&amp;D laboratories for several years. The  next major hurdle was human clinical trials, which also typically took place over several years. However, before Nucleon could launch </w:t>
      </w:r>
      <w:r>
        <w:t>clinical trials, it had to decide how and where CRP-1 would be manufactured. To ensure participants’ safety, the U.S. Food and Drug Administration (FDA) imposed strict guidelines; products being tested in humans had to be made in facilities certified for “</w:t>
      </w:r>
      <w:r>
        <w:t>clinical grade”</w:t>
      </w:r>
      <w:r>
        <w:rPr>
          <w:spacing w:val="-2"/>
        </w:rPr>
        <w:t xml:space="preserve"> </w:t>
      </w:r>
      <w:r>
        <w:t>production.</w:t>
      </w:r>
      <w:r>
        <w:rPr>
          <w:position w:val="6"/>
          <w:sz w:val="16"/>
        </w:rPr>
        <w:t>1</w:t>
      </w:r>
    </w:p>
    <w:p w:rsidR="00D702DE" w:rsidRDefault="00D702DE">
      <w:pPr>
        <w:pStyle w:val="BodyText"/>
        <w:spacing w:before="1"/>
        <w:rPr>
          <w:sz w:val="19"/>
        </w:rPr>
      </w:pPr>
    </w:p>
    <w:p w:rsidR="00D702DE" w:rsidRDefault="00514EB8">
      <w:pPr>
        <w:pStyle w:val="BodyText"/>
        <w:spacing w:before="1" w:line="232" w:lineRule="auto"/>
        <w:ind w:left="1020" w:right="1176" w:firstLine="719"/>
        <w:jc w:val="both"/>
      </w:pPr>
      <w:r>
        <w:t>Since CRP-1 was the company’s first product to go into the clinic, Nucleon had no manufacturing facilities which met FDA requirements. It was faced with three options for supplying CRP-1 to the clinic: The first was to build a new 5000 square-foot pilot pl</w:t>
      </w:r>
      <w:r>
        <w:t>ant with enough capacity to supply all the CRP-1 needed for Phases I and II of clinical trials. The second option was to contract clinical manufacturing to an outside firm. And a third option was to license the manufacturing to another biotechnology compan</w:t>
      </w:r>
      <w:r>
        <w:t>y or to a pharmaceutical firm. Under this third option, the licensee would be responsible for all manufacturing, clinical development, and eventual marketing of CRP-1.</w:t>
      </w:r>
    </w:p>
    <w:p w:rsidR="00D702DE" w:rsidRDefault="00D702DE">
      <w:pPr>
        <w:pStyle w:val="BodyText"/>
        <w:spacing w:before="8"/>
        <w:rPr>
          <w:sz w:val="18"/>
        </w:rPr>
      </w:pPr>
    </w:p>
    <w:p w:rsidR="00D702DE" w:rsidRDefault="00514EB8">
      <w:pPr>
        <w:pStyle w:val="BodyText"/>
        <w:spacing w:line="242" w:lineRule="exact"/>
        <w:ind w:left="1020" w:right="1178" w:firstLine="719"/>
        <w:jc w:val="both"/>
      </w:pPr>
      <w:r>
        <w:t>Definite risks and rewards were attached to each option, and Moore knew that the one ul</w:t>
      </w:r>
      <w:r>
        <w:t>timately chosen by Hurst would have long-term consequences for Nucleon’s survival in the intensively competitive and high-stakes drug industry.</w:t>
      </w:r>
    </w:p>
    <w:p w:rsidR="00D702DE" w:rsidRDefault="00D702DE">
      <w:pPr>
        <w:pStyle w:val="BodyText"/>
      </w:pPr>
    </w:p>
    <w:p w:rsidR="00D702DE" w:rsidRDefault="00D702DE">
      <w:pPr>
        <w:pStyle w:val="BodyText"/>
      </w:pPr>
    </w:p>
    <w:p w:rsidR="00D702DE" w:rsidRDefault="00D702DE">
      <w:pPr>
        <w:pStyle w:val="BodyText"/>
      </w:pPr>
    </w:p>
    <w:p w:rsidR="00D702DE" w:rsidRDefault="00D702DE">
      <w:pPr>
        <w:pStyle w:val="BodyText"/>
      </w:pPr>
    </w:p>
    <w:p w:rsidR="00D702DE" w:rsidRDefault="00514EB8" w:rsidP="00E135FD">
      <w:pPr>
        <w:pStyle w:val="BodyText"/>
        <w:spacing w:before="3"/>
        <w:rPr>
          <w:sz w:val="18"/>
        </w:rPr>
        <w:sectPr w:rsidR="00D702DE">
          <w:headerReference w:type="default" r:id="rId7"/>
          <w:footerReference w:type="default" r:id="rId8"/>
          <w:type w:val="continuous"/>
          <w:pgSz w:w="12240" w:h="15840"/>
          <w:pgMar w:top="540" w:right="260" w:bottom="1040" w:left="780" w:header="233" w:footer="842" w:gutter="0"/>
          <w:cols w:space="720"/>
        </w:sectPr>
      </w:pPr>
      <w:r>
        <w:pict>
          <v:group id="_x0000_s1064" style="position:absolute;margin-left:89.75pt;margin-top:16.4pt;width:146.7pt;height:.5pt;z-index:1048;mso-wrap-distance-left:0;mso-wrap-distance-right:0;mso-position-horizontal-relative:page" coordorigin="1795,328" coordsize="2934,10">
            <v:line id="_x0000_s1066" style="position:absolute" from="3312,333" to="1800,333" strokeweight=".48pt"/>
            <v:line id="_x0000_s1065" style="position:absolute" from="4723,333" to="3312,333" strokeweight=".48pt"/>
            <w10:wrap type="topAndBottom" anchorx="page"/>
          </v:group>
        </w:pict>
      </w:r>
    </w:p>
    <w:p w:rsidR="00D702DE" w:rsidRDefault="00D702DE">
      <w:pPr>
        <w:pStyle w:val="BodyText"/>
        <w:rPr>
          <w:rFonts w:ascii="Arial"/>
          <w:b/>
        </w:rPr>
      </w:pPr>
    </w:p>
    <w:p w:rsidR="00D702DE" w:rsidRDefault="00D702DE">
      <w:pPr>
        <w:pStyle w:val="BodyText"/>
        <w:spacing w:before="6"/>
        <w:rPr>
          <w:rFonts w:ascii="Arial"/>
          <w:b/>
          <w:sz w:val="16"/>
        </w:rPr>
      </w:pPr>
    </w:p>
    <w:p w:rsidR="00D702DE" w:rsidRDefault="00514EB8">
      <w:pPr>
        <w:pStyle w:val="Heading1"/>
        <w:spacing w:before="69"/>
        <w:ind w:right="4126"/>
        <w:jc w:val="center"/>
      </w:pPr>
      <w:r>
        <w:t>Background</w:t>
      </w:r>
    </w:p>
    <w:p w:rsidR="00D702DE" w:rsidRDefault="00D702DE">
      <w:pPr>
        <w:pStyle w:val="BodyText"/>
        <w:rPr>
          <w:rFonts w:ascii="Arial"/>
          <w:b/>
          <w:sz w:val="28"/>
        </w:rPr>
      </w:pPr>
    </w:p>
    <w:p w:rsidR="00D702DE" w:rsidRDefault="00514EB8">
      <w:pPr>
        <w:pStyle w:val="BodyText"/>
        <w:spacing w:line="232" w:lineRule="auto"/>
        <w:ind w:left="660" w:right="1533" w:firstLine="719"/>
        <w:jc w:val="both"/>
      </w:pPr>
      <w:r>
        <w:t xml:space="preserve">Nucleon was founded in 1985 by Dr. Alan Ball, an internationally respected researcher at the Children’s Hospital and an Associate Professor of Clinical Medicine at the Greaves Medical Center, to develop pharmaceutical products based on a class of proteins </w:t>
      </w:r>
      <w:r>
        <w:t>known as cell regulating factors. From 1985 to 1988, Dr. Ball and a small group of scientists who joined Nucleon researched ways of producing CRP-1 outside the human body. Although CRP-1 was a naturally occurring protein contained in human blood plasma, th</w:t>
      </w:r>
      <w:r>
        <w:t>e amount that could be extracted was far too small to be of any commercial use.</w:t>
      </w:r>
    </w:p>
    <w:p w:rsidR="00D702DE" w:rsidRDefault="00D702DE">
      <w:pPr>
        <w:pStyle w:val="BodyText"/>
        <w:spacing w:before="8"/>
        <w:rPr>
          <w:sz w:val="18"/>
        </w:rPr>
      </w:pPr>
    </w:p>
    <w:p w:rsidR="00D702DE" w:rsidRDefault="00514EB8">
      <w:pPr>
        <w:pStyle w:val="BodyText"/>
        <w:spacing w:line="242" w:lineRule="exact"/>
        <w:ind w:left="660" w:right="1535" w:firstLine="719"/>
        <w:jc w:val="both"/>
      </w:pPr>
      <w:r>
        <w:t>Scientists first isolated a small amount of naturally occurring CRP-1 and determined the gene that instructed human cells how to produce CRP-1. The gene was then cloned. While</w:t>
      </w:r>
      <w:r>
        <w:t xml:space="preserve"> this laboratory process for producing CRP-1 was still very small scale, it generated enough material to send to academic collaborators who were exploring the potential therapeutic uses of CRP-1. Although an actual product was still several years and milli</w:t>
      </w:r>
      <w:r>
        <w:t>ons of dollars away, early research indicated that CRP- 1 had potential as a treatment for burns and kidney failure.</w:t>
      </w:r>
    </w:p>
    <w:p w:rsidR="00D702DE" w:rsidRDefault="00D702DE">
      <w:pPr>
        <w:pStyle w:val="BodyText"/>
      </w:pPr>
    </w:p>
    <w:p w:rsidR="00D702DE" w:rsidRDefault="00D702DE">
      <w:pPr>
        <w:pStyle w:val="BodyText"/>
      </w:pPr>
    </w:p>
    <w:p w:rsidR="00D702DE" w:rsidRDefault="00D702DE">
      <w:pPr>
        <w:pStyle w:val="BodyText"/>
        <w:spacing w:before="9"/>
        <w:rPr>
          <w:sz w:val="15"/>
        </w:rPr>
      </w:pPr>
    </w:p>
    <w:p w:rsidR="00D702DE" w:rsidRDefault="00514EB8">
      <w:pPr>
        <w:pStyle w:val="Heading1"/>
        <w:ind w:right="4126"/>
        <w:jc w:val="center"/>
      </w:pPr>
      <w:r>
        <w:t>Strategy and Competition</w:t>
      </w:r>
    </w:p>
    <w:p w:rsidR="00D702DE" w:rsidRDefault="00D702DE">
      <w:pPr>
        <w:pStyle w:val="BodyText"/>
        <w:rPr>
          <w:rFonts w:ascii="Arial"/>
          <w:b/>
          <w:sz w:val="28"/>
        </w:rPr>
      </w:pPr>
    </w:p>
    <w:p w:rsidR="00D702DE" w:rsidRDefault="00514EB8">
      <w:pPr>
        <w:pStyle w:val="BodyText"/>
        <w:spacing w:line="232" w:lineRule="auto"/>
        <w:ind w:left="660" w:right="1535" w:firstLine="719"/>
        <w:jc w:val="both"/>
      </w:pPr>
      <w:r>
        <w:t xml:space="preserve">Nucleon was one of over 200 firms founded since the mid-1970s to develop pharmaceutical technologies based on </w:t>
      </w:r>
      <w:r>
        <w:t>recent advances in molecular biology and immunology. This new field of  R&amp;D, commonly called “biotechnology,” also attracted the attention of established companies. By 1989, most of the world’s largest pharmaceutical enterprises, like Eli Lilly, Merck, and</w:t>
      </w:r>
      <w:r>
        <w:t xml:space="preserve"> Hoffman LaRoche, had extensive in-house biotechnology R&amp;D programs as well as collaborative ties with many of the new</w:t>
      </w:r>
      <w:r>
        <w:rPr>
          <w:spacing w:val="-13"/>
        </w:rPr>
        <w:t xml:space="preserve"> </w:t>
      </w:r>
      <w:r>
        <w:t>entrants.</w:t>
      </w:r>
    </w:p>
    <w:p w:rsidR="00D702DE" w:rsidRDefault="00D702DE">
      <w:pPr>
        <w:pStyle w:val="BodyText"/>
        <w:spacing w:before="5"/>
        <w:rPr>
          <w:sz w:val="19"/>
        </w:rPr>
      </w:pPr>
    </w:p>
    <w:p w:rsidR="00D702DE" w:rsidRDefault="00514EB8">
      <w:pPr>
        <w:pStyle w:val="BodyText"/>
        <w:spacing w:line="232" w:lineRule="auto"/>
        <w:ind w:left="660" w:right="1535" w:firstLine="719"/>
        <w:jc w:val="both"/>
      </w:pPr>
      <w:r>
        <w:t>Competition was intense. Scientists at both start-up and established companies were racing  to be the first to clone certain genes and establish proprietary positions for their firms in emerging areas like cell regulating factors. Establishing a strong pat</w:t>
      </w:r>
      <w:r>
        <w:t>ent position was particularly important for small companies like Nucleon. Moore explained: “Given the enormous costs of developing and commercializing a new drug, potential investors want to see a strong proprietary position before they commit serious capi</w:t>
      </w:r>
      <w:r>
        <w:t>tal. Just one strong patent on the right molecule can ensure survival for years by allowing you to attract</w:t>
      </w:r>
      <w:r>
        <w:rPr>
          <w:spacing w:val="-17"/>
        </w:rPr>
        <w:t xml:space="preserve"> </w:t>
      </w:r>
      <w:r>
        <w:t>capital.”</w:t>
      </w:r>
    </w:p>
    <w:p w:rsidR="00D702DE" w:rsidRDefault="00D702DE">
      <w:pPr>
        <w:pStyle w:val="BodyText"/>
        <w:spacing w:before="5"/>
        <w:rPr>
          <w:sz w:val="19"/>
        </w:rPr>
      </w:pPr>
    </w:p>
    <w:p w:rsidR="00D702DE" w:rsidRDefault="00514EB8">
      <w:pPr>
        <w:pStyle w:val="BodyText"/>
        <w:spacing w:line="232" w:lineRule="auto"/>
        <w:ind w:left="660" w:right="1535" w:firstLine="719"/>
        <w:jc w:val="both"/>
      </w:pPr>
      <w:r>
        <w:t>Biotechnology patent law, however, was as new and uncertain as the technology itself. Indeed, the legality of patenting a genetically engi</w:t>
      </w:r>
      <w:r>
        <w:t>neered microorganism was only established in 1980 by a landmark United States Supreme Court decision, and the ensuing decade saw many legal battles over the scope and efficacy of specific patents. In some cases, two or more companies had claims on differen</w:t>
      </w:r>
      <w:r>
        <w:t>t proprietary elements of the same molecule. For example, one company might claim ownership of the molecule itself while another of the genetic sequence used to synthesize the molecule. Further, it was extremely difficult to patent the process technology u</w:t>
      </w:r>
      <w:r>
        <w:t>sed to obtain a biologically important molecule, even though the starting material and the resulting molecule were considered original enough to be patented. Given the lack of precedent, it was always difficult to predict how the courts would rule in any g</w:t>
      </w:r>
      <w:r>
        <w:t>iven situation.</w:t>
      </w:r>
    </w:p>
    <w:p w:rsidR="00D702DE" w:rsidRDefault="00D702DE">
      <w:pPr>
        <w:pStyle w:val="BodyText"/>
        <w:spacing w:before="5"/>
        <w:rPr>
          <w:sz w:val="19"/>
        </w:rPr>
      </w:pPr>
    </w:p>
    <w:p w:rsidR="00D702DE" w:rsidRDefault="00514EB8">
      <w:pPr>
        <w:pStyle w:val="BodyText"/>
        <w:spacing w:line="232" w:lineRule="auto"/>
        <w:ind w:left="660" w:right="1530" w:firstLine="719"/>
        <w:jc w:val="both"/>
      </w:pPr>
      <w:r>
        <w:t>Moreover, the United States Patent Office might take several years to process an application. And while few companies could afford to wait until a patent was granted before continuing development, there were big risks in going ahead with development before</w:t>
      </w:r>
      <w:r>
        <w:t xml:space="preserve"> the granting of a patent. A company could spend tens of millions of dollars in clinical trials and manufacturing facilities yet wind up not having a proprietary position if the patent office denied the application. Even if patents were</w:t>
      </w:r>
      <w:r>
        <w:rPr>
          <w:spacing w:val="25"/>
        </w:rPr>
        <w:t xml:space="preserve"> </w:t>
      </w:r>
      <w:r>
        <w:t>granted,</w:t>
      </w:r>
      <w:r>
        <w:rPr>
          <w:spacing w:val="25"/>
        </w:rPr>
        <w:t xml:space="preserve"> </w:t>
      </w:r>
      <w:r>
        <w:t>it</w:t>
      </w:r>
      <w:r>
        <w:rPr>
          <w:spacing w:val="25"/>
        </w:rPr>
        <w:t xml:space="preserve"> </w:t>
      </w:r>
      <w:r>
        <w:t>was</w:t>
      </w:r>
      <w:r>
        <w:rPr>
          <w:spacing w:val="25"/>
        </w:rPr>
        <w:t xml:space="preserve"> </w:t>
      </w:r>
      <w:r>
        <w:t>alw</w:t>
      </w:r>
      <w:r>
        <w:t>ays</w:t>
      </w:r>
      <w:r>
        <w:rPr>
          <w:spacing w:val="25"/>
        </w:rPr>
        <w:t xml:space="preserve"> </w:t>
      </w:r>
      <w:r>
        <w:t>possible</w:t>
      </w:r>
      <w:r>
        <w:rPr>
          <w:spacing w:val="25"/>
        </w:rPr>
        <w:t xml:space="preserve"> </w:t>
      </w:r>
      <w:r>
        <w:t>for</w:t>
      </w:r>
      <w:r>
        <w:rPr>
          <w:spacing w:val="25"/>
        </w:rPr>
        <w:t xml:space="preserve"> </w:t>
      </w:r>
      <w:r>
        <w:t>a</w:t>
      </w:r>
      <w:r>
        <w:rPr>
          <w:spacing w:val="27"/>
        </w:rPr>
        <w:t xml:space="preserve"> </w:t>
      </w:r>
      <w:r>
        <w:t>competitor</w:t>
      </w:r>
      <w:r>
        <w:rPr>
          <w:spacing w:val="27"/>
        </w:rPr>
        <w:t xml:space="preserve"> </w:t>
      </w:r>
      <w:r>
        <w:t>to</w:t>
      </w:r>
      <w:r>
        <w:rPr>
          <w:spacing w:val="26"/>
        </w:rPr>
        <w:t xml:space="preserve"> </w:t>
      </w:r>
      <w:r>
        <w:t>challenge</w:t>
      </w:r>
      <w:r>
        <w:rPr>
          <w:spacing w:val="27"/>
        </w:rPr>
        <w:t xml:space="preserve"> </w:t>
      </w:r>
      <w:r>
        <w:t>them</w:t>
      </w:r>
      <w:r>
        <w:rPr>
          <w:spacing w:val="26"/>
        </w:rPr>
        <w:t xml:space="preserve"> </w:t>
      </w:r>
      <w:r>
        <w:t>in</w:t>
      </w:r>
      <w:r>
        <w:rPr>
          <w:spacing w:val="26"/>
        </w:rPr>
        <w:t xml:space="preserve"> </w:t>
      </w:r>
      <w:r>
        <w:t xml:space="preserve">court.  </w:t>
      </w:r>
      <w:r>
        <w:rPr>
          <w:spacing w:val="4"/>
        </w:rPr>
        <w:t xml:space="preserve"> </w:t>
      </w:r>
      <w:r>
        <w:t>While</w:t>
      </w:r>
      <w:r>
        <w:rPr>
          <w:spacing w:val="27"/>
        </w:rPr>
        <w:t xml:space="preserve"> </w:t>
      </w:r>
      <w:r>
        <w:t>Nucleon</w:t>
      </w:r>
    </w:p>
    <w:p w:rsidR="00D702DE" w:rsidRDefault="00514EB8">
      <w:pPr>
        <w:pStyle w:val="BodyText"/>
        <w:spacing w:before="8"/>
        <w:rPr>
          <w:sz w:val="23"/>
        </w:rPr>
      </w:pPr>
      <w:r>
        <w:pict>
          <v:line id="_x0000_s1062" style="position:absolute;z-index:1120;mso-wrap-distance-left:0;mso-wrap-distance-right:0;mso-position-horizontal-relative:page" from="70.55pt,17.4pt" to="523.45pt,17.4pt" strokeweight="1.44pt">
            <w10:wrap type="topAndBottom" anchorx="page"/>
          </v:line>
        </w:pict>
      </w:r>
    </w:p>
    <w:p w:rsidR="00D702DE" w:rsidRDefault="00514EB8">
      <w:pPr>
        <w:spacing w:line="205" w:lineRule="exact"/>
        <w:ind w:left="660"/>
        <w:rPr>
          <w:rFonts w:ascii="Arial"/>
          <w:b/>
          <w:sz w:val="18"/>
        </w:rPr>
      </w:pPr>
      <w:r>
        <w:rPr>
          <w:rFonts w:ascii="Arial"/>
          <w:b/>
          <w:sz w:val="18"/>
        </w:rPr>
        <w:t>2</w:t>
      </w:r>
    </w:p>
    <w:p w:rsidR="00D702DE" w:rsidRDefault="00D702DE">
      <w:pPr>
        <w:spacing w:line="205" w:lineRule="exact"/>
        <w:rPr>
          <w:rFonts w:ascii="Arial"/>
          <w:sz w:val="18"/>
        </w:rPr>
        <w:sectPr w:rsidR="00D702DE">
          <w:footerReference w:type="default" r:id="rId9"/>
          <w:pgSz w:w="12240" w:h="15840"/>
          <w:pgMar w:top="540" w:right="260" w:bottom="680" w:left="780" w:header="233" w:footer="487" w:gutter="0"/>
          <w:cols w:space="720"/>
        </w:sectPr>
      </w:pPr>
    </w:p>
    <w:p w:rsidR="00D702DE" w:rsidRDefault="00D702DE">
      <w:pPr>
        <w:pStyle w:val="BodyText"/>
        <w:rPr>
          <w:rFonts w:ascii="Arial"/>
          <w:b/>
        </w:rPr>
      </w:pPr>
    </w:p>
    <w:p w:rsidR="00D702DE" w:rsidRDefault="00D702DE">
      <w:pPr>
        <w:pStyle w:val="BodyText"/>
        <w:spacing w:before="1"/>
        <w:rPr>
          <w:rFonts w:ascii="Arial"/>
          <w:b/>
          <w:sz w:val="21"/>
        </w:rPr>
      </w:pPr>
    </w:p>
    <w:p w:rsidR="00D702DE" w:rsidRDefault="00514EB8">
      <w:pPr>
        <w:pStyle w:val="BodyText"/>
        <w:spacing w:before="1" w:line="242" w:lineRule="exact"/>
        <w:ind w:left="1020" w:right="1156"/>
      </w:pPr>
      <w:r>
        <w:t>believed it had a strong patent position on the CRP-1 molecule, its rights to other necessary proprietary components (such as the genetic sequence) were less certain.</w:t>
      </w:r>
    </w:p>
    <w:p w:rsidR="00D702DE" w:rsidRDefault="00D702DE">
      <w:pPr>
        <w:pStyle w:val="BodyText"/>
        <w:spacing w:before="5"/>
        <w:rPr>
          <w:sz w:val="19"/>
        </w:rPr>
      </w:pPr>
    </w:p>
    <w:p w:rsidR="00D702DE" w:rsidRDefault="00514EB8">
      <w:pPr>
        <w:pStyle w:val="BodyText"/>
        <w:spacing w:before="1" w:line="245" w:lineRule="exact"/>
        <w:ind w:left="1739"/>
      </w:pPr>
      <w:r>
        <w:t>Nucleon management believed that several factors were critical</w:t>
      </w:r>
      <w:r>
        <w:t xml:space="preserve"> to the company’s survival.</w:t>
      </w:r>
    </w:p>
    <w:p w:rsidR="00D702DE" w:rsidRDefault="00514EB8">
      <w:pPr>
        <w:pStyle w:val="BodyText"/>
        <w:spacing w:line="245" w:lineRule="exact"/>
        <w:ind w:left="1020"/>
      </w:pPr>
      <w:r>
        <w:t>As Hurst commented:</w:t>
      </w:r>
    </w:p>
    <w:p w:rsidR="00D702DE" w:rsidRDefault="00D702DE">
      <w:pPr>
        <w:pStyle w:val="BodyText"/>
        <w:spacing w:before="3"/>
        <w:rPr>
          <w:sz w:val="19"/>
        </w:rPr>
      </w:pPr>
    </w:p>
    <w:p w:rsidR="00D702DE" w:rsidRDefault="00514EB8">
      <w:pPr>
        <w:pStyle w:val="BodyText"/>
        <w:spacing w:line="232" w:lineRule="auto"/>
        <w:ind w:left="1740" w:right="1896" w:firstLine="719"/>
        <w:jc w:val="both"/>
      </w:pPr>
      <w:r>
        <w:t>Given how small we are, it’s absolutely essential that we pick the right projects. We can’t hedge our bets with a big portfolio of projects, like the big pharmaceutical companies can.  We’ve got to pick winners the first time.</w:t>
      </w:r>
    </w:p>
    <w:p w:rsidR="00D702DE" w:rsidRDefault="00D702DE">
      <w:pPr>
        <w:pStyle w:val="BodyText"/>
        <w:spacing w:before="10"/>
        <w:rPr>
          <w:sz w:val="18"/>
        </w:rPr>
      </w:pPr>
    </w:p>
    <w:p w:rsidR="00D702DE" w:rsidRDefault="00514EB8">
      <w:pPr>
        <w:pStyle w:val="BodyText"/>
        <w:spacing w:line="242" w:lineRule="exact"/>
        <w:ind w:left="1020" w:right="1185" w:firstLine="719"/>
        <w:jc w:val="both"/>
      </w:pPr>
      <w:r>
        <w:t>Gordon Banks, Nucleon’s vice</w:t>
      </w:r>
      <w:r>
        <w:t xml:space="preserve"> president of R&amp;D, and one of the leading scientists in the field of cell regulating factors added:</w:t>
      </w:r>
    </w:p>
    <w:p w:rsidR="00D702DE" w:rsidRDefault="00D702DE">
      <w:pPr>
        <w:pStyle w:val="BodyText"/>
        <w:spacing w:before="11"/>
        <w:rPr>
          <w:sz w:val="19"/>
        </w:rPr>
      </w:pPr>
    </w:p>
    <w:p w:rsidR="00D702DE" w:rsidRDefault="00514EB8">
      <w:pPr>
        <w:pStyle w:val="BodyText"/>
        <w:spacing w:line="232" w:lineRule="auto"/>
        <w:ind w:left="1740" w:right="1898" w:firstLine="719"/>
        <w:jc w:val="both"/>
      </w:pPr>
      <w:r>
        <w:t>That’s why it’s so important for us to be at the leading edge of scientific research. This means not only attracting the best in-house scientists, but also</w:t>
      </w:r>
      <w:r>
        <w:t xml:space="preserve"> maintaining close contact with universities. If someone at a university clones the genes for a new cell regulating factor, we want to know about it.</w:t>
      </w:r>
    </w:p>
    <w:p w:rsidR="00D702DE" w:rsidRDefault="00D702DE">
      <w:pPr>
        <w:pStyle w:val="BodyText"/>
        <w:spacing w:before="5"/>
        <w:rPr>
          <w:sz w:val="19"/>
        </w:rPr>
      </w:pPr>
    </w:p>
    <w:p w:rsidR="00D702DE" w:rsidRDefault="00514EB8">
      <w:pPr>
        <w:pStyle w:val="BodyText"/>
        <w:spacing w:line="232" w:lineRule="auto"/>
        <w:ind w:left="1020" w:right="1175" w:firstLine="719"/>
        <w:jc w:val="both"/>
      </w:pPr>
      <w:r>
        <w:t xml:space="preserve">Nucleon management believed that it had found an attractive niche: relatively few  firms were working on </w:t>
      </w:r>
      <w:r>
        <w:t>cell regulating proteins. Banks believed that the company’s distinctive technical capability lay in its ability to identify potentially therapeutic cell regulating factors.  Although Nucleon was a leader in cell regulating factors, the company was not free</w:t>
      </w:r>
      <w:r>
        <w:t xml:space="preserve"> from competition. Other companies were developing drugs using somewhat similar technology. Also, many companies were using alternative technologies to develop drugs for some of the same diseases for which cell regulating factors were being developed. As H</w:t>
      </w:r>
      <w:r>
        <w:t>urst commented, “We’re a leader, but we’re not alone. It’s important for us to get our products into the clinic before others do.”</w:t>
      </w:r>
    </w:p>
    <w:p w:rsidR="00D702DE" w:rsidRDefault="00D702DE">
      <w:pPr>
        <w:pStyle w:val="BodyText"/>
        <w:spacing w:before="5"/>
        <w:rPr>
          <w:sz w:val="19"/>
        </w:rPr>
      </w:pPr>
    </w:p>
    <w:p w:rsidR="00D702DE" w:rsidRDefault="00514EB8">
      <w:pPr>
        <w:pStyle w:val="BodyText"/>
        <w:spacing w:line="232" w:lineRule="auto"/>
        <w:ind w:left="1020" w:right="1173" w:firstLine="719"/>
        <w:jc w:val="both"/>
      </w:pPr>
      <w:r>
        <w:t>Biotechnology firms were using different strategies for developing and commercializing their technologies. Virtually all the biotechnology companies started, like Nucleon, as specialized R&amp;D laboratories. Over time, some vertically integrated into producti</w:t>
      </w:r>
      <w:r>
        <w:t>on, and a few of the oldest companies, like Genentech, were even vertically integrating into marketing. Nucleon was presently contemplating its manufacturing strategy. Its marketing strategy, however, was clear. Nucleon management believed that the company</w:t>
      </w:r>
      <w:r>
        <w:t xml:space="preserve"> could not afford to market its products on its own. Instead,  it planned to link up with established pharmaceutical companies, with  strong  distribution capabilities, to market its products. Hurst, who once worked in marketing  for  a  large  pharmaceuti</w:t>
      </w:r>
      <w:r>
        <w:t>cal company,</w:t>
      </w:r>
      <w:r>
        <w:rPr>
          <w:spacing w:val="-17"/>
        </w:rPr>
        <w:t xml:space="preserve"> </w:t>
      </w:r>
      <w:r>
        <w:t>noted:</w:t>
      </w:r>
    </w:p>
    <w:p w:rsidR="00D702DE" w:rsidRDefault="00D702DE">
      <w:pPr>
        <w:pStyle w:val="BodyText"/>
        <w:spacing w:before="5"/>
        <w:rPr>
          <w:sz w:val="19"/>
        </w:rPr>
      </w:pPr>
    </w:p>
    <w:p w:rsidR="00D702DE" w:rsidRDefault="00514EB8">
      <w:pPr>
        <w:pStyle w:val="BodyText"/>
        <w:spacing w:line="232" w:lineRule="auto"/>
        <w:ind w:left="1740" w:right="1896" w:firstLine="719"/>
        <w:jc w:val="both"/>
      </w:pPr>
      <w:r>
        <w:t>Companies like Merck have hundreds of salespeople. They can reach every doctor’s office in the country within one week. It would be crazy for a company like us to go up against them in marketing. Besides, our products are likely  to  b</w:t>
      </w:r>
      <w:r>
        <w:t>e targeted at a variety of therapeutic markets. We would need a few hundred salespeople to market all these products directly. We’re much better off linking up with the best company in each therapeutic market.</w:t>
      </w:r>
    </w:p>
    <w:p w:rsidR="00D702DE" w:rsidRDefault="00D702DE">
      <w:pPr>
        <w:pStyle w:val="BodyText"/>
        <w:spacing w:before="5"/>
        <w:rPr>
          <w:sz w:val="19"/>
        </w:rPr>
      </w:pPr>
    </w:p>
    <w:p w:rsidR="00D702DE" w:rsidRDefault="00514EB8">
      <w:pPr>
        <w:pStyle w:val="BodyText"/>
        <w:spacing w:line="232" w:lineRule="auto"/>
        <w:ind w:left="1020" w:right="1179" w:firstLine="719"/>
        <w:jc w:val="both"/>
      </w:pPr>
      <w:r>
        <w:t xml:space="preserve">By December 1990, the privately held company </w:t>
      </w:r>
      <w:r>
        <w:t>had grown to 22 employees, 18 of whom  were engaged in R&amp;D; of these about one-third had PhDs from scientific disciplines such as biochemistry, molecular biology, protein chemistry, and immunology. Most of the R&amp;D staff had been recruited from leading univ</w:t>
      </w:r>
      <w:r>
        <w:t>ersity research laboratories and were strongly attracted to cutting- edge, product-oriented research. Nucleon’s size and entrepreneurial spirit created an academic atmosphere in R&amp;D and tight links to the academic/scientific</w:t>
      </w:r>
      <w:r>
        <w:rPr>
          <w:spacing w:val="-26"/>
        </w:rPr>
        <w:t xml:space="preserve"> </w:t>
      </w:r>
      <w:r>
        <w:t>community.</w:t>
      </w:r>
    </w:p>
    <w:p w:rsidR="00D702DE" w:rsidRDefault="00D702DE">
      <w:pPr>
        <w:pStyle w:val="BodyText"/>
        <w:spacing w:before="10"/>
        <w:rPr>
          <w:sz w:val="18"/>
        </w:rPr>
      </w:pPr>
    </w:p>
    <w:p w:rsidR="00D702DE" w:rsidRDefault="00514EB8">
      <w:pPr>
        <w:pStyle w:val="BodyText"/>
        <w:spacing w:line="242" w:lineRule="exact"/>
        <w:ind w:left="1020" w:right="1173" w:firstLine="719"/>
        <w:jc w:val="both"/>
      </w:pPr>
      <w:r>
        <w:t>Since its founding, Nucleon had raised approximately $6 million in venture capital and received research grants from the U.S. Department of Agriculture totaling $600,000.</w:t>
      </w:r>
    </w:p>
    <w:p w:rsidR="00D702DE" w:rsidRDefault="00D702DE">
      <w:pPr>
        <w:pStyle w:val="BodyText"/>
      </w:pPr>
    </w:p>
    <w:p w:rsidR="00D702DE" w:rsidRDefault="00514EB8">
      <w:pPr>
        <w:pStyle w:val="BodyText"/>
        <w:spacing w:before="9"/>
      </w:pPr>
      <w:r>
        <w:pict>
          <v:line id="_x0000_s1061" style="position:absolute;z-index:1144;mso-wrap-distance-left:0;mso-wrap-distance-right:0;mso-position-horizontal-relative:page" from="88.55pt,15.6pt" to="541.45pt,15.6pt" strokeweight="1.44pt">
            <w10:wrap type="topAndBottom" anchorx="page"/>
          </v:line>
        </w:pict>
      </w:r>
    </w:p>
    <w:p w:rsidR="00D702DE" w:rsidRDefault="00514EB8">
      <w:pPr>
        <w:spacing w:line="205" w:lineRule="exact"/>
        <w:ind w:right="1178"/>
        <w:jc w:val="right"/>
        <w:rPr>
          <w:rFonts w:ascii="Arial"/>
          <w:b/>
          <w:sz w:val="18"/>
        </w:rPr>
      </w:pPr>
      <w:r>
        <w:rPr>
          <w:rFonts w:ascii="Arial"/>
          <w:b/>
          <w:sz w:val="18"/>
        </w:rPr>
        <w:t>3</w:t>
      </w:r>
    </w:p>
    <w:p w:rsidR="00D702DE" w:rsidRDefault="00D702DE">
      <w:pPr>
        <w:spacing w:line="205" w:lineRule="exact"/>
        <w:jc w:val="right"/>
        <w:rPr>
          <w:rFonts w:ascii="Arial"/>
          <w:sz w:val="18"/>
        </w:rPr>
        <w:sectPr w:rsidR="00D702DE">
          <w:pgSz w:w="12240" w:h="15840"/>
          <w:pgMar w:top="540" w:right="260" w:bottom="680" w:left="780" w:header="233" w:footer="487" w:gutter="0"/>
          <w:cols w:space="720"/>
        </w:sectPr>
      </w:pPr>
    </w:p>
    <w:p w:rsidR="00D702DE" w:rsidRDefault="00D702DE">
      <w:pPr>
        <w:pStyle w:val="BodyText"/>
        <w:spacing w:before="10"/>
        <w:rPr>
          <w:rFonts w:ascii="Arial"/>
          <w:b/>
          <w:sz w:val="14"/>
        </w:rPr>
      </w:pPr>
    </w:p>
    <w:p w:rsidR="00D702DE" w:rsidRDefault="00D702DE">
      <w:pPr>
        <w:pStyle w:val="BodyText"/>
        <w:rPr>
          <w:rFonts w:ascii="Arial"/>
          <w:b/>
        </w:rPr>
      </w:pPr>
    </w:p>
    <w:p w:rsidR="00D702DE" w:rsidRDefault="00D702DE">
      <w:pPr>
        <w:pStyle w:val="BodyText"/>
        <w:spacing w:before="6"/>
        <w:rPr>
          <w:rFonts w:ascii="Arial"/>
          <w:b/>
          <w:sz w:val="16"/>
        </w:rPr>
      </w:pPr>
    </w:p>
    <w:p w:rsidR="00D702DE" w:rsidRDefault="00514EB8">
      <w:pPr>
        <w:pStyle w:val="Heading1"/>
        <w:spacing w:before="69"/>
        <w:ind w:left="2543"/>
      </w:pPr>
      <w:r>
        <w:t>Drug Development:  From Research to Marke</w:t>
      </w:r>
      <w:r>
        <w:t>t</w:t>
      </w:r>
    </w:p>
    <w:p w:rsidR="00D702DE" w:rsidRDefault="00D702DE">
      <w:pPr>
        <w:pStyle w:val="BodyText"/>
        <w:rPr>
          <w:rFonts w:ascii="Arial"/>
          <w:b/>
          <w:sz w:val="28"/>
        </w:rPr>
      </w:pPr>
    </w:p>
    <w:p w:rsidR="00D702DE" w:rsidRDefault="00514EB8">
      <w:pPr>
        <w:pStyle w:val="BodyText"/>
        <w:spacing w:line="232" w:lineRule="auto"/>
        <w:ind w:left="660" w:right="1542" w:firstLine="719"/>
        <w:jc w:val="both"/>
      </w:pPr>
      <w:r>
        <w:t>Establishing the safety and efficacy of products like CRP-1 that were based upon novel genetic engineering technology was enormously complex, time-consuming, and expensive.  Nucleon’s drug development process, divided into several distinct phases, is di</w:t>
      </w:r>
      <w:r>
        <w:t>scussed</w:t>
      </w:r>
      <w:r>
        <w:rPr>
          <w:spacing w:val="-25"/>
        </w:rPr>
        <w:t xml:space="preserve"> </w:t>
      </w:r>
      <w:r>
        <w:t>below.</w:t>
      </w:r>
    </w:p>
    <w:p w:rsidR="00D702DE" w:rsidRDefault="00D702DE">
      <w:pPr>
        <w:pStyle w:val="BodyText"/>
        <w:spacing w:before="6"/>
        <w:rPr>
          <w:sz w:val="26"/>
        </w:rPr>
      </w:pPr>
    </w:p>
    <w:p w:rsidR="00D702DE" w:rsidRDefault="00514EB8">
      <w:pPr>
        <w:pStyle w:val="Heading2"/>
      </w:pPr>
      <w:r>
        <w:t>Research</w:t>
      </w:r>
    </w:p>
    <w:p w:rsidR="00D702DE" w:rsidRDefault="00D702DE">
      <w:pPr>
        <w:pStyle w:val="BodyText"/>
        <w:spacing w:before="10"/>
        <w:rPr>
          <w:rFonts w:ascii="Arial"/>
          <w:b/>
          <w:sz w:val="27"/>
        </w:rPr>
      </w:pPr>
    </w:p>
    <w:p w:rsidR="00D702DE" w:rsidRDefault="00514EB8">
      <w:pPr>
        <w:pStyle w:val="BodyText"/>
        <w:spacing w:line="232" w:lineRule="auto"/>
        <w:ind w:left="660" w:right="1537" w:firstLine="719"/>
        <w:jc w:val="both"/>
      </w:pPr>
      <w:r>
        <w:t>Before launching a research project to develop a new drug, Nucleon management considered several factors in evaluating a project’s profit potential. First, there had to be a chance of achieving a dominant proprietary position. Sec</w:t>
      </w:r>
      <w:r>
        <w:t>ond, the market had to be large enough to justify the R&amp;D investment. Finally, Nucleon wanted to develop drugs where no alternative treatments were available. During the research phase, Nucleon’s scientists sought to identify and purify from human plasma m</w:t>
      </w:r>
      <w:r>
        <w:t>inute quantities of cell regulating proteins that might have therapeutic value. Some critical information to pursue this research was obtained by perusing scientific literature or by consulting with leading academic researchers. Much necessary information,</w:t>
      </w:r>
      <w:r>
        <w:t xml:space="preserve"> however, was still undiscovered and came only from in-house research and experimentation, which seldom moved in a straight- forward, logical manner but from one obstacle to the next. This could entail abandoning one strategy and starting over</w:t>
      </w:r>
      <w:r>
        <w:rPr>
          <w:spacing w:val="-8"/>
        </w:rPr>
        <w:t xml:space="preserve"> </w:t>
      </w:r>
      <w:r>
        <w:t>again.</w:t>
      </w:r>
    </w:p>
    <w:p w:rsidR="00D702DE" w:rsidRDefault="00D702DE">
      <w:pPr>
        <w:pStyle w:val="BodyText"/>
        <w:spacing w:before="6"/>
        <w:rPr>
          <w:sz w:val="26"/>
        </w:rPr>
      </w:pPr>
    </w:p>
    <w:p w:rsidR="00D702DE" w:rsidRDefault="00514EB8">
      <w:pPr>
        <w:pStyle w:val="Heading2"/>
      </w:pPr>
      <w:r>
        <w:t>Cloning and Purification</w:t>
      </w:r>
    </w:p>
    <w:p w:rsidR="00D702DE" w:rsidRDefault="00D702DE">
      <w:pPr>
        <w:pStyle w:val="BodyText"/>
        <w:spacing w:before="10"/>
        <w:rPr>
          <w:rFonts w:ascii="Arial"/>
          <w:b/>
          <w:sz w:val="27"/>
        </w:rPr>
      </w:pPr>
    </w:p>
    <w:p w:rsidR="00D702DE" w:rsidRDefault="00514EB8">
      <w:pPr>
        <w:pStyle w:val="BodyText"/>
        <w:spacing w:line="232" w:lineRule="auto"/>
        <w:ind w:left="660" w:right="1535" w:firstLine="719"/>
        <w:jc w:val="both"/>
      </w:pPr>
      <w:r>
        <w:t>Products like CRP-1 and others that Nucleon intended to develop were fundamentally different from most drugs developed by pharmaceutical companies, which traditionally were synthetic chemicals. Chemical synthesis was effective for</w:t>
      </w:r>
      <w:r>
        <w:t xml:space="preserve"> relatively small and simple molecules, but proteins like CRP-1 were simply too big and complex to be synthesized that way and instead were produced by genetic engineering.</w:t>
      </w:r>
    </w:p>
    <w:p w:rsidR="00D702DE" w:rsidRDefault="00D702DE">
      <w:pPr>
        <w:pStyle w:val="BodyText"/>
        <w:spacing w:before="5"/>
        <w:rPr>
          <w:sz w:val="19"/>
        </w:rPr>
      </w:pPr>
    </w:p>
    <w:p w:rsidR="00D702DE" w:rsidRDefault="00514EB8">
      <w:pPr>
        <w:pStyle w:val="BodyText"/>
        <w:spacing w:line="232" w:lineRule="auto"/>
        <w:ind w:left="659" w:right="1533" w:firstLine="720"/>
        <w:jc w:val="both"/>
      </w:pPr>
      <w:r>
        <w:t xml:space="preserve">Through genetic engineering, the scientist created a microscopic protein factory. </w:t>
      </w:r>
      <w:r>
        <w:t xml:space="preserve">The  gene  for the protein was identified, isolated, and cloned, then inserted into different strains of the bacterium </w:t>
      </w:r>
      <w:r>
        <w:rPr>
          <w:i/>
        </w:rPr>
        <w:t>E. coli</w:t>
      </w:r>
      <w:r>
        <w:t>. In theory, the genetically engineered bacteria could then produce the protein in a test tube or shake flask. However, since genetic engineering was still a relatively new scientific discipline, it was not always easy to either identify the relevant genes</w:t>
      </w:r>
      <w:r>
        <w:t xml:space="preserve"> or to get “host” (genetically altered) bacteria to produce a specific protein. In practice, it was usually necessary to try different types of host cells to find one or more capable of producing the protein in quantities that could be scaled-up to an econ</w:t>
      </w:r>
      <w:r>
        <w:t>omically feasible</w:t>
      </w:r>
      <w:r>
        <w:rPr>
          <w:spacing w:val="-10"/>
        </w:rPr>
        <w:t xml:space="preserve"> </w:t>
      </w:r>
      <w:r>
        <w:t>process.</w:t>
      </w:r>
    </w:p>
    <w:p w:rsidR="00D702DE" w:rsidRDefault="00D702DE">
      <w:pPr>
        <w:pStyle w:val="BodyText"/>
        <w:spacing w:before="5"/>
        <w:rPr>
          <w:sz w:val="19"/>
        </w:rPr>
      </w:pPr>
    </w:p>
    <w:p w:rsidR="00D702DE" w:rsidRDefault="00514EB8">
      <w:pPr>
        <w:pStyle w:val="BodyText"/>
        <w:spacing w:line="232" w:lineRule="auto"/>
        <w:ind w:left="659" w:right="1536" w:firstLine="719"/>
        <w:jc w:val="both"/>
      </w:pPr>
      <w:r>
        <w:t>Only a few milligrams of protein could be produced from genetically engineered cells grown in shake flasks. Thus, an extensive amount of work then had to go into developing the processes for making each of these proteins in larg</w:t>
      </w:r>
      <w:r>
        <w:t>e quantity.</w:t>
      </w:r>
    </w:p>
    <w:p w:rsidR="00D702DE" w:rsidRDefault="00D702DE">
      <w:pPr>
        <w:pStyle w:val="BodyText"/>
        <w:spacing w:before="5"/>
        <w:rPr>
          <w:sz w:val="26"/>
        </w:rPr>
      </w:pPr>
    </w:p>
    <w:p w:rsidR="00D702DE" w:rsidRDefault="00514EB8">
      <w:pPr>
        <w:pStyle w:val="Heading2"/>
        <w:spacing w:before="1"/>
      </w:pPr>
      <w:r>
        <w:t>Pre-Clinical Research</w:t>
      </w:r>
    </w:p>
    <w:p w:rsidR="00D702DE" w:rsidRDefault="00D702DE">
      <w:pPr>
        <w:pStyle w:val="BodyText"/>
        <w:spacing w:before="10"/>
        <w:rPr>
          <w:rFonts w:ascii="Arial"/>
          <w:b/>
          <w:sz w:val="27"/>
        </w:rPr>
      </w:pPr>
    </w:p>
    <w:p w:rsidR="00D702DE" w:rsidRDefault="00514EB8">
      <w:pPr>
        <w:pStyle w:val="BodyText"/>
        <w:spacing w:line="232" w:lineRule="auto"/>
        <w:ind w:left="660" w:right="1536" w:firstLine="719"/>
        <w:jc w:val="both"/>
      </w:pPr>
      <w:r>
        <w:t>Before a pharmaceutical was tested in humans it underwent pre-clinical evaluation, consisting of experiments in animals to evaluate its efficacy. Over six to eight months, increasing doses were administered to animals wi</w:t>
      </w:r>
      <w:r>
        <w:t>th and without the simulated disease. Another six months might be needed to evaluate the</w:t>
      </w:r>
      <w:r>
        <w:rPr>
          <w:spacing w:val="-17"/>
        </w:rPr>
        <w:t xml:space="preserve"> </w:t>
      </w:r>
      <w:r>
        <w:t>data.</w:t>
      </w:r>
    </w:p>
    <w:p w:rsidR="00D702DE" w:rsidRDefault="00D702DE">
      <w:pPr>
        <w:pStyle w:val="BodyText"/>
        <w:spacing w:before="10"/>
        <w:rPr>
          <w:sz w:val="18"/>
        </w:rPr>
      </w:pPr>
    </w:p>
    <w:p w:rsidR="00D702DE" w:rsidRDefault="00514EB8">
      <w:pPr>
        <w:pStyle w:val="BodyText"/>
        <w:spacing w:line="242" w:lineRule="exact"/>
        <w:ind w:left="660" w:right="1535" w:firstLine="719"/>
        <w:jc w:val="both"/>
      </w:pPr>
      <w:r>
        <w:pict>
          <v:line id="_x0000_s1060" style="position:absolute;left:0;text-align:left;z-index:1168;mso-wrap-distance-left:0;mso-wrap-distance-right:0;mso-position-horizontal-relative:page" from="70.55pt,55.55pt" to="523.45pt,55.55pt" strokeweight="1.44pt">
            <w10:wrap type="topAndBottom" anchorx="page"/>
          </v:line>
        </w:pict>
      </w:r>
      <w:r>
        <w:t>By this point, the company might have spent $6 to $10 million in R&amp;D and preparation of regulatory documents. Only after completing all the requisite animal te</w:t>
      </w:r>
      <w:r>
        <w:t>sts, and having a suitable production process, could the company file for permission with the FDA to commence clinical trials in</w:t>
      </w:r>
      <w:r>
        <w:rPr>
          <w:spacing w:val="20"/>
        </w:rPr>
        <w:t xml:space="preserve"> </w:t>
      </w:r>
      <w:r>
        <w:t>humans.</w:t>
      </w:r>
      <w:r>
        <w:rPr>
          <w:spacing w:val="21"/>
        </w:rPr>
        <w:t xml:space="preserve"> </w:t>
      </w:r>
      <w:r>
        <w:t>Though</w:t>
      </w:r>
      <w:r>
        <w:rPr>
          <w:spacing w:val="23"/>
        </w:rPr>
        <w:t xml:space="preserve"> </w:t>
      </w:r>
      <w:r>
        <w:t>Nucleon</w:t>
      </w:r>
      <w:r>
        <w:rPr>
          <w:spacing w:val="25"/>
        </w:rPr>
        <w:t xml:space="preserve"> </w:t>
      </w:r>
      <w:r>
        <w:t>had</w:t>
      </w:r>
      <w:r>
        <w:rPr>
          <w:spacing w:val="24"/>
        </w:rPr>
        <w:t xml:space="preserve"> </w:t>
      </w:r>
      <w:r>
        <w:t>not</w:t>
      </w:r>
      <w:r>
        <w:rPr>
          <w:spacing w:val="23"/>
        </w:rPr>
        <w:t xml:space="preserve"> </w:t>
      </w:r>
      <w:r>
        <w:t>begun</w:t>
      </w:r>
      <w:r>
        <w:rPr>
          <w:spacing w:val="23"/>
        </w:rPr>
        <w:t xml:space="preserve"> </w:t>
      </w:r>
      <w:r>
        <w:t>human</w:t>
      </w:r>
      <w:r>
        <w:rPr>
          <w:spacing w:val="23"/>
        </w:rPr>
        <w:t xml:space="preserve"> </w:t>
      </w:r>
      <w:r>
        <w:t>clinical</w:t>
      </w:r>
      <w:r>
        <w:rPr>
          <w:spacing w:val="23"/>
        </w:rPr>
        <w:t xml:space="preserve"> </w:t>
      </w:r>
      <w:r>
        <w:t>trials,</w:t>
      </w:r>
      <w:r>
        <w:rPr>
          <w:spacing w:val="26"/>
        </w:rPr>
        <w:t xml:space="preserve"> </w:t>
      </w:r>
      <w:r>
        <w:t>management</w:t>
      </w:r>
      <w:r>
        <w:rPr>
          <w:spacing w:val="23"/>
        </w:rPr>
        <w:t xml:space="preserve"> </w:t>
      </w:r>
      <w:r>
        <w:t>expected</w:t>
      </w:r>
      <w:r>
        <w:rPr>
          <w:spacing w:val="24"/>
        </w:rPr>
        <w:t xml:space="preserve"> </w:t>
      </w:r>
      <w:r>
        <w:t>to</w:t>
      </w:r>
      <w:r>
        <w:rPr>
          <w:spacing w:val="23"/>
        </w:rPr>
        <w:t xml:space="preserve"> </w:t>
      </w:r>
      <w:r>
        <w:t>file</w:t>
      </w:r>
      <w:r>
        <w:rPr>
          <w:spacing w:val="24"/>
        </w:rPr>
        <w:t xml:space="preserve"> </w:t>
      </w:r>
      <w:r>
        <w:t>an</w:t>
      </w:r>
    </w:p>
    <w:p w:rsidR="00D702DE" w:rsidRDefault="00514EB8">
      <w:pPr>
        <w:spacing w:line="205" w:lineRule="exact"/>
        <w:ind w:left="660"/>
        <w:rPr>
          <w:rFonts w:ascii="Arial"/>
          <w:b/>
          <w:sz w:val="18"/>
        </w:rPr>
      </w:pPr>
      <w:r>
        <w:rPr>
          <w:rFonts w:ascii="Arial"/>
          <w:b/>
          <w:sz w:val="18"/>
        </w:rPr>
        <w:t>4</w:t>
      </w:r>
    </w:p>
    <w:p w:rsidR="00D702DE" w:rsidRDefault="00D702DE">
      <w:pPr>
        <w:spacing w:line="205" w:lineRule="exact"/>
        <w:rPr>
          <w:rFonts w:ascii="Arial"/>
          <w:sz w:val="18"/>
        </w:rPr>
        <w:sectPr w:rsidR="00D702DE">
          <w:pgSz w:w="12240" w:h="15840"/>
          <w:pgMar w:top="540" w:right="260" w:bottom="680" w:left="780" w:header="233" w:footer="487" w:gutter="0"/>
          <w:cols w:space="720"/>
        </w:sectPr>
      </w:pPr>
    </w:p>
    <w:p w:rsidR="00D702DE" w:rsidRDefault="00D702DE">
      <w:pPr>
        <w:pStyle w:val="BodyText"/>
        <w:rPr>
          <w:rFonts w:ascii="Arial"/>
          <w:b/>
        </w:rPr>
      </w:pPr>
    </w:p>
    <w:p w:rsidR="00D702DE" w:rsidRDefault="00D702DE">
      <w:pPr>
        <w:pStyle w:val="BodyText"/>
        <w:spacing w:before="1"/>
        <w:rPr>
          <w:rFonts w:ascii="Arial"/>
          <w:b/>
          <w:sz w:val="21"/>
        </w:rPr>
      </w:pPr>
    </w:p>
    <w:p w:rsidR="00D702DE" w:rsidRDefault="00514EB8">
      <w:pPr>
        <w:pStyle w:val="BodyText"/>
        <w:spacing w:before="1" w:line="242" w:lineRule="exact"/>
        <w:ind w:left="1020" w:right="1177"/>
        <w:jc w:val="both"/>
      </w:pPr>
      <w:r>
        <w:t xml:space="preserve">application with the FDA to begin human trials for CRP-1 as a burn wound treatment in 1992. The company was also doing research to determine if CRP-1 might have other therapeutic applications. There was some preliminary data suggesting that it might treat </w:t>
      </w:r>
      <w:r>
        <w:t>kidney failure. Moore estimated that about another two years and $3 million of work were needed before the kidney failure application could be tested in the clinic.</w:t>
      </w:r>
    </w:p>
    <w:p w:rsidR="00D702DE" w:rsidRDefault="00D702DE">
      <w:pPr>
        <w:pStyle w:val="BodyText"/>
        <w:spacing w:before="10"/>
        <w:rPr>
          <w:sz w:val="26"/>
        </w:rPr>
      </w:pPr>
    </w:p>
    <w:p w:rsidR="00D702DE" w:rsidRDefault="00514EB8">
      <w:pPr>
        <w:pStyle w:val="Heading2"/>
        <w:ind w:left="1020"/>
        <w:jc w:val="both"/>
      </w:pPr>
      <w:r>
        <w:t>Human Clinical Trials</w:t>
      </w:r>
    </w:p>
    <w:p w:rsidR="00D702DE" w:rsidRDefault="00D702DE">
      <w:pPr>
        <w:pStyle w:val="BodyText"/>
        <w:spacing w:before="3"/>
        <w:rPr>
          <w:rFonts w:ascii="Arial"/>
          <w:b/>
          <w:sz w:val="27"/>
        </w:rPr>
      </w:pPr>
    </w:p>
    <w:p w:rsidR="00D702DE" w:rsidRDefault="00514EB8">
      <w:pPr>
        <w:pStyle w:val="BodyText"/>
        <w:spacing w:line="242" w:lineRule="exact"/>
        <w:ind w:left="1020" w:right="1175" w:firstLine="719"/>
        <w:jc w:val="both"/>
      </w:pPr>
      <w:r>
        <w:t>Most governments required every new pharmaceutical product to under</w:t>
      </w:r>
      <w:r>
        <w:t>go extensive clinical testing before it could be marketed widely, and the FDA regulations were considered the most stringent in the world. To meet them, any new drug, or any approved drug being modified for a different therapeutic application, had to under</w:t>
      </w:r>
      <w:r>
        <w:t>go three phases of clinical trials.</w:t>
      </w:r>
    </w:p>
    <w:p w:rsidR="00D702DE" w:rsidRDefault="00D702DE">
      <w:pPr>
        <w:pStyle w:val="BodyText"/>
        <w:spacing w:before="7"/>
        <w:rPr>
          <w:sz w:val="19"/>
        </w:rPr>
      </w:pPr>
    </w:p>
    <w:p w:rsidR="00D702DE" w:rsidRDefault="00514EB8">
      <w:pPr>
        <w:pStyle w:val="BodyText"/>
        <w:spacing w:line="235" w:lineRule="auto"/>
        <w:ind w:left="1019" w:right="1176" w:firstLine="720"/>
        <w:jc w:val="both"/>
      </w:pPr>
      <w:r>
        <w:t>Phase I trials assessed basic safety. During these trials, the drug was administered to a small group of healthy volunteers and any adverse reactions (such as fevers, dizziness, or nausea) were noted.</w:t>
      </w:r>
      <w:r>
        <w:rPr>
          <w:position w:val="6"/>
          <w:sz w:val="16"/>
        </w:rPr>
        <w:t xml:space="preserve">2 </w:t>
      </w:r>
      <w:r>
        <w:t>This phase usuall</w:t>
      </w:r>
      <w:r>
        <w:t>y required between 6 and 12 months. As long as there were no serious side effects, the product moved to Phase II trials where it was administered to a small group of patients having the disease the drug was presumed to treat. The patients were monitored to</w:t>
      </w:r>
      <w:r>
        <w:t xml:space="preserve"> determine whether their condition improved as a result of the drug and whether they suffered any adverse side effects. It was during Phase II trials that appropriate dosages were determined. This phase typically required between one to two years to comple</w:t>
      </w:r>
      <w:r>
        <w:t>te. If Phase II trials succeeded, the product then moved to Phase III trials.</w:t>
      </w:r>
    </w:p>
    <w:p w:rsidR="00D702DE" w:rsidRDefault="00D702DE">
      <w:pPr>
        <w:pStyle w:val="BodyText"/>
        <w:spacing w:before="2"/>
        <w:rPr>
          <w:sz w:val="19"/>
        </w:rPr>
      </w:pPr>
    </w:p>
    <w:p w:rsidR="00D702DE" w:rsidRDefault="00514EB8">
      <w:pPr>
        <w:pStyle w:val="BodyText"/>
        <w:spacing w:line="232" w:lineRule="auto"/>
        <w:ind w:left="1019" w:right="1174" w:firstLine="719"/>
        <w:jc w:val="both"/>
      </w:pPr>
      <w:r>
        <w:t>Phase III trials assessed the product’s efficacy with a relatively large sample of patients on a statistically rigorous basis. Typically, these trials involved multiple hospitals and could require from two to five years to complete. Because of the large nu</w:t>
      </w:r>
      <w:r>
        <w:t>mber of patients, doctors, and hospitals involved, this stage was by far the most expensive. The costs of manufacturing the drug, administering it to patients, monitoring results, analyzing data, and preparing the requisite regulatory paperwork could run b</w:t>
      </w:r>
      <w:r>
        <w:t>etween $30-$100 million. It was imperative for regulatory reasons to manufacture the product with the same process that would be used when the product was marketed commercially. Any change in manufacturing would mean repeating human clinical trials  to pro</w:t>
      </w:r>
      <w:r>
        <w:t>ve that the deviation did not alter the product’s safety and efficacy. This also added significantly to the costs of running Phase III clinical</w:t>
      </w:r>
      <w:r>
        <w:rPr>
          <w:spacing w:val="-8"/>
        </w:rPr>
        <w:t xml:space="preserve"> </w:t>
      </w:r>
      <w:r>
        <w:t>trials.</w:t>
      </w:r>
    </w:p>
    <w:p w:rsidR="00D702DE" w:rsidRDefault="00D702DE">
      <w:pPr>
        <w:pStyle w:val="BodyText"/>
      </w:pPr>
    </w:p>
    <w:p w:rsidR="00D702DE" w:rsidRDefault="00D702DE">
      <w:pPr>
        <w:pStyle w:val="BodyText"/>
      </w:pPr>
    </w:p>
    <w:p w:rsidR="00D702DE" w:rsidRDefault="00D702DE">
      <w:pPr>
        <w:pStyle w:val="BodyText"/>
        <w:spacing w:before="5"/>
        <w:rPr>
          <w:sz w:val="15"/>
        </w:rPr>
      </w:pPr>
    </w:p>
    <w:p w:rsidR="00D702DE" w:rsidRDefault="00514EB8">
      <w:pPr>
        <w:pStyle w:val="Heading1"/>
        <w:ind w:left="3177"/>
      </w:pPr>
      <w:r>
        <w:t>The CRP-1 Project:  Current Applications</w:t>
      </w:r>
    </w:p>
    <w:p w:rsidR="00D702DE" w:rsidRDefault="00D702DE">
      <w:pPr>
        <w:pStyle w:val="BodyText"/>
        <w:spacing w:before="9"/>
        <w:rPr>
          <w:rFonts w:ascii="Arial"/>
          <w:b/>
          <w:sz w:val="27"/>
        </w:rPr>
      </w:pPr>
    </w:p>
    <w:p w:rsidR="00D702DE" w:rsidRDefault="00514EB8">
      <w:pPr>
        <w:pStyle w:val="BodyText"/>
        <w:spacing w:line="232" w:lineRule="auto"/>
        <w:ind w:left="1020" w:right="1174" w:firstLine="719"/>
        <w:jc w:val="both"/>
      </w:pPr>
      <w:r>
        <w:t xml:space="preserve">Since Nucleon’s founding, its main development project had </w:t>
      </w:r>
      <w:r>
        <w:t xml:space="preserve">been CRP-1 and most of the company’s R&amp;D resources had been focused on the CRP-1 projects. While  CRP-1’s  commercialization was still a few years away, Nucleon’s scientists and investors were optimistic about its potential. </w:t>
      </w:r>
      <w:r>
        <w:rPr>
          <w:b/>
        </w:rPr>
        <w:t xml:space="preserve">Exhibit 1 </w:t>
      </w:r>
      <w:r>
        <w:t xml:space="preserve">depicts the expected </w:t>
      </w:r>
      <w:r>
        <w:t>time to FDA approval. Initial research focused on developing two major therapeutic applications—one for topical treatment of burn wounds, the other for acute kidney failure. Both the burn wound and kidney failure markets were estimated to be similar in siz</w:t>
      </w:r>
      <w:r>
        <w:t>e. Furthermore, in 1988, the company had also begun investigating two new cell regulating factors, still in the early stages of research. Dr. Banks estimated that these could be ready for clinical trials in about four years if the company spent $10 million</w:t>
      </w:r>
      <w:r>
        <w:t xml:space="preserve"> on each</w:t>
      </w:r>
      <w:r>
        <w:rPr>
          <w:spacing w:val="-28"/>
        </w:rPr>
        <w:t xml:space="preserve"> </w:t>
      </w:r>
      <w:r>
        <w:t>one.</w:t>
      </w:r>
    </w:p>
    <w:p w:rsidR="00D702DE" w:rsidRDefault="00D702DE">
      <w:pPr>
        <w:pStyle w:val="BodyText"/>
        <w:spacing w:before="10"/>
        <w:rPr>
          <w:sz w:val="18"/>
        </w:rPr>
      </w:pPr>
    </w:p>
    <w:p w:rsidR="00D702DE" w:rsidRDefault="00514EB8">
      <w:pPr>
        <w:pStyle w:val="BodyText"/>
        <w:spacing w:line="242" w:lineRule="exact"/>
        <w:ind w:left="1020" w:right="1181" w:firstLine="719"/>
        <w:jc w:val="both"/>
      </w:pPr>
      <w:r>
        <w:t>One of the most critical activities currently taking place on the CRP-1 project was the development of a larger scale production process, with sufficient capacity to meet all clinical trial</w:t>
      </w:r>
    </w:p>
    <w:p w:rsidR="00D702DE" w:rsidRDefault="00514EB8">
      <w:pPr>
        <w:pStyle w:val="BodyText"/>
        <w:spacing w:before="3"/>
        <w:rPr>
          <w:sz w:val="29"/>
        </w:rPr>
      </w:pPr>
      <w:r>
        <w:pict>
          <v:group id="_x0000_s1057" style="position:absolute;margin-left:89.75pt;margin-top:20.15pt;width:146.7pt;height:.5pt;z-index:1192;mso-wrap-distance-left:0;mso-wrap-distance-right:0;mso-position-horizontal-relative:page" coordorigin="1795,403" coordsize="2934,10">
            <v:line id="_x0000_s1059" style="position:absolute" from="3312,408" to="1800,408" strokeweight=".48pt"/>
            <v:line id="_x0000_s1058" style="position:absolute" from="4723,408" to="3312,408" strokeweight=".48pt"/>
            <w10:wrap type="topAndBottom" anchorx="page"/>
          </v:group>
        </w:pict>
      </w:r>
    </w:p>
    <w:p w:rsidR="00D702DE" w:rsidRDefault="00D702DE">
      <w:pPr>
        <w:pStyle w:val="BodyText"/>
        <w:spacing w:before="7"/>
        <w:rPr>
          <w:sz w:val="10"/>
        </w:rPr>
      </w:pPr>
    </w:p>
    <w:p w:rsidR="00D702DE" w:rsidRDefault="00514EB8">
      <w:pPr>
        <w:spacing w:before="68"/>
        <w:ind w:left="1020"/>
        <w:rPr>
          <w:sz w:val="18"/>
        </w:rPr>
      </w:pPr>
      <w:r>
        <w:pict>
          <v:line id="_x0000_s1056" style="position:absolute;left:0;text-align:left;z-index:1216;mso-wrap-distance-left:0;mso-wrap-distance-right:0;mso-position-horizontal-relative:page" from="88.55pt,21.35pt" to="541.45pt,21.35pt" strokeweight="1.44pt">
            <w10:wrap type="topAndBottom" anchorx="page"/>
          </v:line>
        </w:pict>
      </w:r>
      <w:r>
        <w:rPr>
          <w:position w:val="6"/>
          <w:sz w:val="16"/>
        </w:rPr>
        <w:t>2</w:t>
      </w:r>
      <w:r>
        <w:rPr>
          <w:sz w:val="18"/>
        </w:rPr>
        <w:t>For some very serious diseases, Phase I tria</w:t>
      </w:r>
      <w:r>
        <w:rPr>
          <w:sz w:val="18"/>
        </w:rPr>
        <w:t>ls were performed on afflicted patients.</w:t>
      </w:r>
    </w:p>
    <w:p w:rsidR="00D702DE" w:rsidRDefault="00514EB8">
      <w:pPr>
        <w:ind w:right="1178"/>
        <w:jc w:val="right"/>
        <w:rPr>
          <w:rFonts w:ascii="Arial"/>
          <w:b/>
          <w:sz w:val="18"/>
        </w:rPr>
      </w:pPr>
      <w:r>
        <w:rPr>
          <w:rFonts w:ascii="Arial"/>
          <w:b/>
          <w:sz w:val="18"/>
        </w:rPr>
        <w:t>5</w:t>
      </w:r>
    </w:p>
    <w:p w:rsidR="00D702DE" w:rsidRDefault="00D702DE">
      <w:pPr>
        <w:jc w:val="right"/>
        <w:rPr>
          <w:rFonts w:ascii="Arial"/>
          <w:sz w:val="18"/>
        </w:rPr>
        <w:sectPr w:rsidR="00D702DE">
          <w:pgSz w:w="12240" w:h="15840"/>
          <w:pgMar w:top="540" w:right="260" w:bottom="680" w:left="780" w:header="233" w:footer="487" w:gutter="0"/>
          <w:cols w:space="720"/>
        </w:sectPr>
      </w:pPr>
    </w:p>
    <w:p w:rsidR="00D702DE" w:rsidRDefault="00D702DE">
      <w:pPr>
        <w:pStyle w:val="BodyText"/>
        <w:spacing w:before="10"/>
        <w:rPr>
          <w:rFonts w:ascii="Arial"/>
          <w:b/>
          <w:sz w:val="14"/>
        </w:rPr>
      </w:pPr>
    </w:p>
    <w:p w:rsidR="00D702DE" w:rsidRDefault="00D702DE">
      <w:pPr>
        <w:pStyle w:val="BodyText"/>
        <w:rPr>
          <w:rFonts w:ascii="Arial"/>
          <w:b/>
        </w:rPr>
      </w:pPr>
    </w:p>
    <w:p w:rsidR="00D702DE" w:rsidRDefault="00D702DE">
      <w:pPr>
        <w:pStyle w:val="BodyText"/>
        <w:rPr>
          <w:rFonts w:ascii="Arial"/>
          <w:b/>
          <w:sz w:val="16"/>
        </w:rPr>
      </w:pPr>
    </w:p>
    <w:p w:rsidR="00D702DE" w:rsidRDefault="00514EB8">
      <w:pPr>
        <w:pStyle w:val="BodyText"/>
        <w:spacing w:before="59" w:line="242" w:lineRule="exact"/>
        <w:ind w:left="660" w:right="1541"/>
        <w:jc w:val="both"/>
      </w:pPr>
      <w:r>
        <w:t>requirements. Every step of the process had to be carefully documented and validated to ensure that it could produce identical product from batch to batch.</w:t>
      </w:r>
    </w:p>
    <w:p w:rsidR="00D702DE" w:rsidRDefault="00D702DE">
      <w:pPr>
        <w:pStyle w:val="BodyText"/>
        <w:rPr>
          <w:sz w:val="27"/>
        </w:rPr>
      </w:pPr>
    </w:p>
    <w:p w:rsidR="00D702DE" w:rsidRDefault="00514EB8">
      <w:pPr>
        <w:pStyle w:val="Heading2"/>
        <w:jc w:val="both"/>
      </w:pPr>
      <w:r>
        <w:t>Process Development and Manufacturing</w:t>
      </w:r>
    </w:p>
    <w:p w:rsidR="00D702DE" w:rsidRDefault="00D702DE">
      <w:pPr>
        <w:pStyle w:val="BodyText"/>
        <w:spacing w:before="5"/>
        <w:rPr>
          <w:rFonts w:ascii="Arial"/>
          <w:b/>
          <w:sz w:val="27"/>
        </w:rPr>
      </w:pPr>
    </w:p>
    <w:p w:rsidR="00D702DE" w:rsidRDefault="00514EB8">
      <w:pPr>
        <w:pStyle w:val="BodyText"/>
        <w:spacing w:line="240" w:lineRule="exact"/>
        <w:ind w:left="660" w:right="1538" w:firstLine="719"/>
        <w:jc w:val="both"/>
      </w:pPr>
      <w:r>
        <w:t xml:space="preserve">CRP-1 production would require four basic process steps: 1) fermentation, 2) purification, 3) formulation,  4) filling and packaging (see </w:t>
      </w:r>
      <w:r>
        <w:rPr>
          <w:b/>
        </w:rPr>
        <w:t>Exhibit 2</w:t>
      </w:r>
      <w:r>
        <w:t>).</w:t>
      </w:r>
    </w:p>
    <w:p w:rsidR="00D702DE" w:rsidRDefault="00D702DE">
      <w:pPr>
        <w:pStyle w:val="BodyText"/>
        <w:spacing w:before="7"/>
      </w:pPr>
    </w:p>
    <w:p w:rsidR="00D702DE" w:rsidRDefault="00514EB8">
      <w:pPr>
        <w:pStyle w:val="BodyText"/>
        <w:spacing w:line="232" w:lineRule="auto"/>
        <w:ind w:left="659" w:right="1535"/>
        <w:jc w:val="both"/>
      </w:pPr>
      <w:r>
        <w:rPr>
          <w:rFonts w:ascii="Arial"/>
          <w:b/>
        </w:rPr>
        <w:t xml:space="preserve">Fermentation </w:t>
      </w:r>
      <w:r>
        <w:t>Fermentation initially focused on growing the genetic</w:t>
      </w:r>
      <w:r>
        <w:t xml:space="preserve">ally engineered </w:t>
      </w:r>
      <w:r>
        <w:rPr>
          <w:i/>
        </w:rPr>
        <w:t xml:space="preserve">E. coli </w:t>
      </w:r>
      <w:r>
        <w:t>in small laboratory flasks; the process was then scaled up to successively larger vessels. Unfortunately, the process used to grow cells in a 1-liter glass bottle might not work when attempted in a 10-liter glass chamber or a 100-li</w:t>
      </w:r>
      <w:r>
        <w:t>ter stainless steel tank (also known as a fermentor or bioreactor), given differences in heat exchange, tank aeration, and fermentor geometry. The kinds of nutrients cells were fed, bioreactor temperature, acidity level, oxygen flow rate into the bioreacto</w:t>
      </w:r>
      <w:r>
        <w:t>r, and dozens of  other process parameters, were all determined during fermentation process development.</w:t>
      </w:r>
    </w:p>
    <w:p w:rsidR="00D702DE" w:rsidRDefault="00D702DE">
      <w:pPr>
        <w:pStyle w:val="BodyText"/>
        <w:spacing w:before="10"/>
        <w:rPr>
          <w:sz w:val="18"/>
        </w:rPr>
      </w:pPr>
    </w:p>
    <w:p w:rsidR="00D702DE" w:rsidRDefault="00514EB8">
      <w:pPr>
        <w:pStyle w:val="BodyText"/>
        <w:spacing w:line="242" w:lineRule="exact"/>
        <w:ind w:left="659" w:right="1538" w:firstLine="719"/>
        <w:jc w:val="both"/>
      </w:pPr>
      <w:r>
        <w:t>While crude fermentation processes existed for over 6000 years, fermentation using genetically engineered cells dated to the early 1980s. Many biotech</w:t>
      </w:r>
      <w:r>
        <w:t>nology firms encountered major difficulties when trying to run pilot and commercial scale fermentation processes for the first time, as Dr. Ann Dawson, Nucleon’s director of process science, explained:</w:t>
      </w:r>
    </w:p>
    <w:p w:rsidR="00D702DE" w:rsidRDefault="00D702DE">
      <w:pPr>
        <w:pStyle w:val="BodyText"/>
        <w:spacing w:before="1"/>
        <w:rPr>
          <w:sz w:val="19"/>
        </w:rPr>
      </w:pPr>
    </w:p>
    <w:p w:rsidR="00D702DE" w:rsidRDefault="00514EB8">
      <w:pPr>
        <w:pStyle w:val="BodyText"/>
        <w:spacing w:before="1" w:line="242" w:lineRule="exact"/>
        <w:ind w:left="1380" w:right="2261" w:firstLine="719"/>
        <w:jc w:val="both"/>
      </w:pPr>
      <w:r>
        <w:t>There are so many unknowns and so many things which c</w:t>
      </w:r>
      <w:r>
        <w:t>an go wrong. If a virus gets into your bioreactor, you could be shut down for weeks. Incredibly tight process control is an absolute must, and even then, you may still run into troubles.</w:t>
      </w:r>
    </w:p>
    <w:p w:rsidR="00D702DE" w:rsidRDefault="00D702DE">
      <w:pPr>
        <w:pStyle w:val="BodyText"/>
        <w:spacing w:before="11"/>
        <w:rPr>
          <w:sz w:val="19"/>
        </w:rPr>
      </w:pPr>
    </w:p>
    <w:p w:rsidR="00D702DE" w:rsidRDefault="00514EB8">
      <w:pPr>
        <w:pStyle w:val="BodyText"/>
        <w:spacing w:line="232" w:lineRule="auto"/>
        <w:ind w:left="660" w:right="1539" w:firstLine="719"/>
        <w:jc w:val="both"/>
      </w:pPr>
      <w:r>
        <w:t>For regulatory reasons, it was absolutely critical to run the process exactly as specified. Such strict adherence to process specifications was necessary because even minor process deviations could impact product quality. In addition, the efficiency of the</w:t>
      </w:r>
      <w:r>
        <w:t xml:space="preserve"> process could be severely affected by changes in any one of the key process</w:t>
      </w:r>
      <w:r>
        <w:rPr>
          <w:spacing w:val="-8"/>
        </w:rPr>
        <w:t xml:space="preserve"> </w:t>
      </w:r>
      <w:r>
        <w:t>parameters.</w:t>
      </w:r>
    </w:p>
    <w:p w:rsidR="00D702DE" w:rsidRDefault="00D702DE">
      <w:pPr>
        <w:pStyle w:val="BodyText"/>
        <w:spacing w:before="5"/>
        <w:rPr>
          <w:sz w:val="19"/>
        </w:rPr>
      </w:pPr>
    </w:p>
    <w:p w:rsidR="00D702DE" w:rsidRDefault="00514EB8">
      <w:pPr>
        <w:pStyle w:val="BodyText"/>
        <w:spacing w:line="232" w:lineRule="auto"/>
        <w:ind w:left="660" w:right="1534" w:firstLine="719"/>
        <w:jc w:val="both"/>
      </w:pPr>
      <w:r>
        <w:t>Because such production methods were new, process development required a great deal of trial-and-error and close collaboration between research scientists and process</w:t>
      </w:r>
      <w:r>
        <w:t xml:space="preserve"> development scientists early on in the project. Research scientists had to design a process that worked in a test tube as well  as on a larger scale, and process development scientists had to be aware of and understand the details of the product and its h</w:t>
      </w:r>
      <w:r>
        <w:t>ost cell. Some genetically-engineered cell lines, for example, were extremely difficult to grow large-scale. Dr. Dawson</w:t>
      </w:r>
      <w:r>
        <w:rPr>
          <w:spacing w:val="-19"/>
        </w:rPr>
        <w:t xml:space="preserve"> </w:t>
      </w:r>
      <w:r>
        <w:t>noted:</w:t>
      </w:r>
    </w:p>
    <w:p w:rsidR="00D702DE" w:rsidRDefault="00D702DE">
      <w:pPr>
        <w:pStyle w:val="BodyText"/>
        <w:spacing w:before="10"/>
        <w:rPr>
          <w:sz w:val="18"/>
        </w:rPr>
      </w:pPr>
    </w:p>
    <w:p w:rsidR="00D702DE" w:rsidRDefault="00514EB8">
      <w:pPr>
        <w:pStyle w:val="BodyText"/>
        <w:spacing w:line="242" w:lineRule="exact"/>
        <w:ind w:left="1380" w:right="2254" w:firstLine="719"/>
        <w:jc w:val="both"/>
      </w:pPr>
      <w:r>
        <w:t>Ideally, we want the research scientists to work with only those cell lines which we know can be scaled-up. While I think they a</w:t>
      </w:r>
      <w:r>
        <w:t>gree  with this in principle, they really don’t want to be constrained, particularly if they’re having trouble getting expression with one of our “preferred” cell</w:t>
      </w:r>
      <w:r>
        <w:rPr>
          <w:spacing w:val="-11"/>
        </w:rPr>
        <w:t xml:space="preserve"> </w:t>
      </w:r>
      <w:r>
        <w:t>lines.</w:t>
      </w:r>
    </w:p>
    <w:p w:rsidR="00D702DE" w:rsidRDefault="00D702DE">
      <w:pPr>
        <w:pStyle w:val="BodyText"/>
        <w:spacing w:before="11"/>
        <w:rPr>
          <w:sz w:val="19"/>
        </w:rPr>
      </w:pPr>
    </w:p>
    <w:p w:rsidR="00D702DE" w:rsidRDefault="00514EB8">
      <w:pPr>
        <w:pStyle w:val="BodyText"/>
        <w:spacing w:line="232" w:lineRule="auto"/>
        <w:ind w:left="660" w:right="1540" w:firstLine="719"/>
        <w:jc w:val="both"/>
      </w:pPr>
      <w:r>
        <w:t>While much progress had been made over the past decade, many people considered biotec</w:t>
      </w:r>
      <w:r>
        <w:t>hnology production processes very much an art. It was not unheard of for a process to work well in one facility but fail completely when transferred to another. One Nucleon researcher who had experience with such transfers explained:</w:t>
      </w:r>
    </w:p>
    <w:p w:rsidR="00D702DE" w:rsidRDefault="00D702DE">
      <w:pPr>
        <w:pStyle w:val="BodyText"/>
        <w:spacing w:before="5"/>
        <w:rPr>
          <w:sz w:val="19"/>
        </w:rPr>
      </w:pPr>
    </w:p>
    <w:p w:rsidR="00D702DE" w:rsidRDefault="00514EB8">
      <w:pPr>
        <w:pStyle w:val="BodyText"/>
        <w:spacing w:line="232" w:lineRule="auto"/>
        <w:ind w:left="1380" w:right="2255" w:firstLine="719"/>
        <w:jc w:val="both"/>
      </w:pPr>
      <w:r>
        <w:t>You would be surprise</w:t>
      </w:r>
      <w:r>
        <w:t>d at all the little things that could be done differently from one organization to another. Most of these things are so minor you would not even think of writing them down. But they make the difference between a successful and unsuccessful process.</w:t>
      </w:r>
    </w:p>
    <w:p w:rsidR="00D702DE" w:rsidRDefault="00D702DE">
      <w:pPr>
        <w:pStyle w:val="BodyText"/>
        <w:spacing w:before="10"/>
        <w:rPr>
          <w:sz w:val="18"/>
        </w:rPr>
      </w:pPr>
    </w:p>
    <w:p w:rsidR="00D702DE" w:rsidRDefault="00514EB8">
      <w:pPr>
        <w:pStyle w:val="BodyText"/>
        <w:spacing w:line="242" w:lineRule="exact"/>
        <w:ind w:left="660" w:right="1533" w:firstLine="719"/>
        <w:jc w:val="both"/>
      </w:pPr>
      <w:r>
        <w:pict>
          <v:line id="_x0000_s1055" style="position:absolute;left:0;text-align:left;z-index:1240;mso-wrap-distance-left:0;mso-wrap-distance-right:0;mso-position-horizontal-relative:page" from="70.55pt,31pt" to="523.45pt,31pt" strokeweight="1.44pt">
            <w10:wrap type="topAndBottom" anchorx="page"/>
          </v:line>
        </w:pict>
      </w:r>
      <w:r>
        <w:t>Curre</w:t>
      </w:r>
      <w:r>
        <w:t xml:space="preserve">ntly, Nucleon had scaled up the process for making CRP-1 to 10 liters, enough to  supply material for its own biochemical studies, academic collaborators, and potential joint  </w:t>
      </w:r>
      <w:r>
        <w:rPr>
          <w:spacing w:val="49"/>
        </w:rPr>
        <w:t xml:space="preserve"> </w:t>
      </w:r>
      <w:r>
        <w:t>venture</w:t>
      </w:r>
    </w:p>
    <w:p w:rsidR="00D702DE" w:rsidRDefault="00514EB8">
      <w:pPr>
        <w:ind w:left="660"/>
        <w:rPr>
          <w:rFonts w:ascii="Arial"/>
          <w:b/>
          <w:sz w:val="18"/>
        </w:rPr>
      </w:pPr>
      <w:r>
        <w:rPr>
          <w:rFonts w:ascii="Arial"/>
          <w:b/>
          <w:sz w:val="18"/>
        </w:rPr>
        <w:t>6</w:t>
      </w:r>
    </w:p>
    <w:p w:rsidR="00D702DE" w:rsidRDefault="00D702DE">
      <w:pPr>
        <w:rPr>
          <w:rFonts w:ascii="Arial"/>
          <w:sz w:val="18"/>
        </w:rPr>
        <w:sectPr w:rsidR="00D702DE">
          <w:pgSz w:w="12240" w:h="15840"/>
          <w:pgMar w:top="540" w:right="260" w:bottom="680" w:left="780" w:header="233" w:footer="487" w:gutter="0"/>
          <w:cols w:space="720"/>
        </w:sectPr>
      </w:pPr>
    </w:p>
    <w:p w:rsidR="00D702DE" w:rsidRDefault="00D702DE">
      <w:pPr>
        <w:pStyle w:val="BodyText"/>
        <w:rPr>
          <w:rFonts w:ascii="Arial"/>
          <w:b/>
        </w:rPr>
      </w:pPr>
    </w:p>
    <w:p w:rsidR="00D702DE" w:rsidRDefault="00D702DE">
      <w:pPr>
        <w:pStyle w:val="BodyText"/>
        <w:spacing w:before="1"/>
        <w:rPr>
          <w:rFonts w:ascii="Arial"/>
          <w:b/>
          <w:sz w:val="21"/>
        </w:rPr>
      </w:pPr>
    </w:p>
    <w:p w:rsidR="00D702DE" w:rsidRDefault="00514EB8">
      <w:pPr>
        <w:pStyle w:val="BodyText"/>
        <w:spacing w:before="1" w:line="242" w:lineRule="exact"/>
        <w:ind w:left="1020" w:right="1176"/>
        <w:jc w:val="both"/>
      </w:pPr>
      <w:r>
        <w:t>partners who wanted to evaluate the product. Early phase clinical trials were likely to require a 100- liter process, and commercial production a much larger scale process.</w:t>
      </w:r>
    </w:p>
    <w:p w:rsidR="00D702DE" w:rsidRDefault="00D702DE">
      <w:pPr>
        <w:pStyle w:val="BodyText"/>
        <w:spacing w:before="11"/>
        <w:rPr>
          <w:sz w:val="19"/>
        </w:rPr>
      </w:pPr>
    </w:p>
    <w:p w:rsidR="00D702DE" w:rsidRDefault="00514EB8">
      <w:pPr>
        <w:pStyle w:val="BodyText"/>
        <w:spacing w:line="232" w:lineRule="auto"/>
        <w:ind w:left="1020" w:right="1171" w:firstLine="719"/>
        <w:jc w:val="both"/>
      </w:pPr>
      <w:r>
        <w:t>As complex as it was, bacterial fermentation was considered one of the more effici</w:t>
      </w:r>
      <w:r>
        <w:t>ent ways of producing proteins like CRP-1. In some cases, product characteristics could be enhanced if a mammalian cell (e.g., from a mouse or human) rather than a bacterial cell was used as a host. Mammalian cell processes, while desirable from the produc</w:t>
      </w:r>
      <w:r>
        <w:t>t side, were much more complex than bacterial processes, not well understood, and much more expensive to maintain. Mammalian cells  had to be fed more expensive nutrients, and they grew much more slowly than bacterial cells. They required different bioreac</w:t>
      </w:r>
      <w:r>
        <w:t>tors, and even stricter adherence to original process specifications than bacterial cells. Dr. Dawson explained, “With bacterial cells, a one degree Centigrade temperature change can slow the growth rate and increase your costs, whereas mammalian cells mig</w:t>
      </w:r>
      <w:r>
        <w:t>ht just die altogether.”</w:t>
      </w:r>
    </w:p>
    <w:p w:rsidR="00D702DE" w:rsidRDefault="00D702DE">
      <w:pPr>
        <w:pStyle w:val="BodyText"/>
        <w:spacing w:before="3"/>
        <w:rPr>
          <w:sz w:val="19"/>
        </w:rPr>
      </w:pPr>
    </w:p>
    <w:p w:rsidR="00D702DE" w:rsidRDefault="00514EB8">
      <w:pPr>
        <w:pStyle w:val="BodyText"/>
        <w:spacing w:line="235" w:lineRule="auto"/>
        <w:ind w:left="1020" w:right="1174" w:firstLine="719"/>
        <w:jc w:val="both"/>
        <w:rPr>
          <w:sz w:val="16"/>
        </w:rPr>
      </w:pPr>
      <w:r>
        <w:t>Although most biotechnology companies had some experience with bacterial cell processes, many fewer had mammalian cell capabilities. Fortunately, CRP-1 could be produced using bacterial cells. The company’s R&amp;D lab, however, was a</w:t>
      </w:r>
      <w:r>
        <w:t>lready working on second generation  CRP-1  molecules produced in mammalian cells. And biotechnology companies overall were  unsure  whether existing process development technology would be viable in the future to produce biological products.</w:t>
      </w:r>
      <w:r>
        <w:rPr>
          <w:position w:val="6"/>
          <w:sz w:val="16"/>
        </w:rPr>
        <w:t>3</w:t>
      </w:r>
    </w:p>
    <w:p w:rsidR="00D702DE" w:rsidRDefault="00D702DE">
      <w:pPr>
        <w:pStyle w:val="BodyText"/>
        <w:spacing w:before="9"/>
        <w:rPr>
          <w:sz w:val="19"/>
        </w:rPr>
      </w:pPr>
    </w:p>
    <w:p w:rsidR="00D702DE" w:rsidRDefault="00514EB8">
      <w:pPr>
        <w:pStyle w:val="BodyText"/>
        <w:spacing w:before="1" w:line="232" w:lineRule="auto"/>
        <w:ind w:left="1020" w:right="1176"/>
        <w:jc w:val="both"/>
      </w:pPr>
      <w:r>
        <w:rPr>
          <w:rFonts w:ascii="Arial" w:hAnsi="Arial"/>
          <w:b/>
        </w:rPr>
        <w:t>Purificatio</w:t>
      </w:r>
      <w:r>
        <w:rPr>
          <w:rFonts w:ascii="Arial" w:hAnsi="Arial"/>
          <w:b/>
        </w:rPr>
        <w:t xml:space="preserve">n </w:t>
      </w:r>
      <w:r>
        <w:t>After fermentation, the cells would be broken apart and the CRP-1 protein separated from all other proteins and cell debris contained in the fermentation tank. A series of fractionation  and centrifugation steps would isolate the cell protein from carboh</w:t>
      </w:r>
      <w:r>
        <w:t>ydrates, fatty acids, and DNA.  The CRP-1 containing protein mixture would then be purified in three additional steps using a filtration procedure known as column chromatography. Like fermentation, the purification process specified during process developm</w:t>
      </w:r>
      <w:r>
        <w:t>ent had to be strictly followed during manufacturing. After purification, the material would be subjected to extensive quality testing to ensure that the product met the FDA’s extremely high purity</w:t>
      </w:r>
      <w:r>
        <w:rPr>
          <w:spacing w:val="-15"/>
        </w:rPr>
        <w:t xml:space="preserve"> </w:t>
      </w:r>
      <w:r>
        <w:t>standards.</w:t>
      </w:r>
    </w:p>
    <w:p w:rsidR="00D702DE" w:rsidRDefault="00D702DE">
      <w:pPr>
        <w:pStyle w:val="BodyText"/>
        <w:spacing w:before="1"/>
      </w:pPr>
    </w:p>
    <w:p w:rsidR="00D702DE" w:rsidRDefault="00514EB8">
      <w:pPr>
        <w:pStyle w:val="BodyText"/>
        <w:spacing w:line="232" w:lineRule="auto"/>
        <w:ind w:left="1020" w:right="1175"/>
        <w:jc w:val="both"/>
      </w:pPr>
      <w:r>
        <w:rPr>
          <w:rFonts w:ascii="Arial"/>
          <w:b/>
        </w:rPr>
        <w:t xml:space="preserve">Formulation </w:t>
      </w:r>
      <w:r>
        <w:t>Purification processes yielded nea</w:t>
      </w:r>
      <w:r>
        <w:t>rly pure quantities of the protein of interest, for example CRP-1. At this stage, the product was made into the intended dosage form (e.g., oral,  topical, injectable), and subjected to extensive quality testing. For burn treatment, CRP-1 would be formulat</w:t>
      </w:r>
      <w:r>
        <w:t>ed into a topical dosage</w:t>
      </w:r>
      <w:r>
        <w:rPr>
          <w:spacing w:val="-15"/>
        </w:rPr>
        <w:t xml:space="preserve"> </w:t>
      </w:r>
      <w:r>
        <w:t>form.</w:t>
      </w:r>
    </w:p>
    <w:p w:rsidR="00D702DE" w:rsidRDefault="00D702DE">
      <w:pPr>
        <w:pStyle w:val="BodyText"/>
        <w:spacing w:before="11"/>
        <w:rPr>
          <w:sz w:val="19"/>
        </w:rPr>
      </w:pPr>
    </w:p>
    <w:p w:rsidR="00D702DE" w:rsidRDefault="00514EB8">
      <w:pPr>
        <w:pStyle w:val="BodyText"/>
        <w:spacing w:line="232" w:lineRule="auto"/>
        <w:ind w:left="1020" w:right="1175"/>
        <w:jc w:val="both"/>
      </w:pPr>
      <w:r>
        <w:rPr>
          <w:rFonts w:ascii="Arial"/>
          <w:b/>
        </w:rPr>
        <w:t xml:space="preserve">Filling and Packaging  </w:t>
      </w:r>
      <w:r>
        <w:t>During the final step, bulk quantities of the formulated product were put  into tubes, bottles, or other vessels required for administration to patients. The sealed vessels were then inserted into pack</w:t>
      </w:r>
      <w:r>
        <w:t>ages, which were also</w:t>
      </w:r>
      <w:r>
        <w:rPr>
          <w:spacing w:val="-17"/>
        </w:rPr>
        <w:t xml:space="preserve"> </w:t>
      </w:r>
      <w:r>
        <w:t>sealed.</w:t>
      </w:r>
    </w:p>
    <w:p w:rsidR="00D702DE" w:rsidRDefault="00D702DE">
      <w:pPr>
        <w:pStyle w:val="BodyText"/>
      </w:pPr>
    </w:p>
    <w:p w:rsidR="00D702DE" w:rsidRDefault="00D702DE">
      <w:pPr>
        <w:pStyle w:val="BodyText"/>
      </w:pPr>
    </w:p>
    <w:p w:rsidR="00D702DE" w:rsidRDefault="00D702DE">
      <w:pPr>
        <w:pStyle w:val="BodyText"/>
        <w:spacing w:before="5"/>
        <w:rPr>
          <w:sz w:val="15"/>
        </w:rPr>
      </w:pPr>
    </w:p>
    <w:p w:rsidR="00D702DE" w:rsidRDefault="00514EB8">
      <w:pPr>
        <w:pStyle w:val="Heading1"/>
        <w:ind w:left="3681" w:right="3841"/>
        <w:jc w:val="center"/>
      </w:pPr>
      <w:r>
        <w:t>The Financial Environment</w:t>
      </w:r>
    </w:p>
    <w:p w:rsidR="00D702DE" w:rsidRDefault="00D702DE">
      <w:pPr>
        <w:pStyle w:val="BodyText"/>
        <w:rPr>
          <w:rFonts w:ascii="Arial"/>
          <w:b/>
          <w:sz w:val="28"/>
        </w:rPr>
      </w:pPr>
    </w:p>
    <w:p w:rsidR="00D702DE" w:rsidRDefault="00514EB8">
      <w:pPr>
        <w:pStyle w:val="BodyText"/>
        <w:spacing w:line="232" w:lineRule="auto"/>
        <w:ind w:left="1020" w:right="1179" w:firstLine="719"/>
        <w:jc w:val="both"/>
      </w:pPr>
      <w:r>
        <w:t>A critical issue affecting Nucleon was capital availability. The situation had changed dramatically since the late 1970s and early 1980s when investors lined up to provide capital to brand new biotechnology companies. By the mid- to late-1980s, private and</w:t>
      </w:r>
      <w:r>
        <w:t xml:space="preserve"> public equity markets grew tighter, and venture capitalists, who expected investment returns of 30%, became more selective.  The</w:t>
      </w:r>
    </w:p>
    <w:p w:rsidR="00D702DE" w:rsidRDefault="00514EB8">
      <w:pPr>
        <w:pStyle w:val="BodyText"/>
        <w:spacing w:before="11"/>
        <w:rPr>
          <w:sz w:val="29"/>
        </w:rPr>
      </w:pPr>
      <w:r>
        <w:pict>
          <v:group id="_x0000_s1052" style="position:absolute;margin-left:89.75pt;margin-top:20.55pt;width:146.7pt;height:.5pt;z-index:1264;mso-wrap-distance-left:0;mso-wrap-distance-right:0;mso-position-horizontal-relative:page" coordorigin="1795,411" coordsize="2934,10">
            <v:line id="_x0000_s1054" style="position:absolute" from="3312,416" to="1800,416" strokeweight=".48pt"/>
            <v:line id="_x0000_s1053" style="position:absolute" from="4723,416" to="3312,416" strokeweight=".48pt"/>
            <w10:wrap type="topAndBottom" anchorx="page"/>
          </v:group>
        </w:pict>
      </w:r>
    </w:p>
    <w:p w:rsidR="00D702DE" w:rsidRDefault="00D702DE">
      <w:pPr>
        <w:pStyle w:val="BodyText"/>
        <w:spacing w:before="7"/>
        <w:rPr>
          <w:sz w:val="10"/>
        </w:rPr>
      </w:pPr>
    </w:p>
    <w:p w:rsidR="00D702DE" w:rsidRDefault="00514EB8">
      <w:pPr>
        <w:spacing w:before="73" w:line="232" w:lineRule="auto"/>
        <w:ind w:left="1020" w:right="1176" w:hanging="1"/>
        <w:jc w:val="both"/>
        <w:rPr>
          <w:sz w:val="18"/>
        </w:rPr>
      </w:pPr>
      <w:r>
        <w:pict>
          <v:line id="_x0000_s1051" style="position:absolute;left:0;text-align:left;z-index:1288;mso-wrap-distance-left:0;mso-wrap-distance-right:0;mso-position-horizontal-relative:page" from="88.55pt,64.9pt" to="541.45pt,64.9pt" strokeweight="1.44pt">
            <w10:wrap type="topAndBottom" anchorx="page"/>
          </v:line>
        </w:pict>
      </w:r>
      <w:r>
        <w:rPr>
          <w:position w:val="6"/>
          <w:sz w:val="16"/>
        </w:rPr>
        <w:t>3</w:t>
      </w:r>
      <w:r>
        <w:rPr>
          <w:sz w:val="18"/>
        </w:rPr>
        <w:t xml:space="preserve">On the horizon was a hybrid of biotechnology and synthetic chemical techniques that could alter or replace existing process technologies. These hybrid companies used molecular biology techniques to clone and produce small amounts of biologically important </w:t>
      </w:r>
      <w:r>
        <w:rPr>
          <w:sz w:val="18"/>
        </w:rPr>
        <w:t>proteins. The protein was studied to learn the chemical and physical structure of its therapeutically active site and then, using computer-aided modelling techniques, the active site of the protein could be constructed synthetically.</w:t>
      </w:r>
    </w:p>
    <w:p w:rsidR="00D702DE" w:rsidRDefault="00514EB8">
      <w:pPr>
        <w:ind w:right="1178"/>
        <w:jc w:val="right"/>
        <w:rPr>
          <w:rFonts w:ascii="Arial"/>
          <w:b/>
          <w:sz w:val="18"/>
        </w:rPr>
      </w:pPr>
      <w:r>
        <w:rPr>
          <w:rFonts w:ascii="Arial"/>
          <w:b/>
          <w:sz w:val="18"/>
        </w:rPr>
        <w:t>7</w:t>
      </w:r>
    </w:p>
    <w:p w:rsidR="00D702DE" w:rsidRDefault="00D702DE">
      <w:pPr>
        <w:jc w:val="right"/>
        <w:rPr>
          <w:rFonts w:ascii="Arial"/>
          <w:sz w:val="18"/>
        </w:rPr>
        <w:sectPr w:rsidR="00D702DE">
          <w:pgSz w:w="12240" w:h="15840"/>
          <w:pgMar w:top="540" w:right="260" w:bottom="680" w:left="780" w:header="233" w:footer="487" w:gutter="0"/>
          <w:cols w:space="720"/>
        </w:sectPr>
      </w:pPr>
    </w:p>
    <w:p w:rsidR="00D702DE" w:rsidRDefault="00D702DE">
      <w:pPr>
        <w:pStyle w:val="BodyText"/>
        <w:spacing w:before="10"/>
        <w:rPr>
          <w:rFonts w:ascii="Arial"/>
          <w:b/>
          <w:sz w:val="14"/>
        </w:rPr>
      </w:pPr>
    </w:p>
    <w:p w:rsidR="00D702DE" w:rsidRDefault="00D702DE">
      <w:pPr>
        <w:pStyle w:val="BodyText"/>
        <w:rPr>
          <w:rFonts w:ascii="Arial"/>
          <w:b/>
        </w:rPr>
      </w:pPr>
    </w:p>
    <w:p w:rsidR="00D702DE" w:rsidRDefault="00D702DE">
      <w:pPr>
        <w:pStyle w:val="BodyText"/>
        <w:rPr>
          <w:rFonts w:ascii="Arial"/>
          <w:b/>
          <w:sz w:val="16"/>
        </w:rPr>
      </w:pPr>
    </w:p>
    <w:p w:rsidR="00D702DE" w:rsidRDefault="00514EB8">
      <w:pPr>
        <w:pStyle w:val="BodyText"/>
        <w:spacing w:before="59" w:line="242" w:lineRule="exact"/>
        <w:ind w:left="660" w:right="1538"/>
        <w:jc w:val="both"/>
      </w:pPr>
      <w:r>
        <w:t xml:space="preserve">state of the public equity markets in 1990 made “going public” virtually impossible for a company like Nucleon; furthermore, potential corporate partners, who had been disappointed by previous biotechnology relationships, were unwilling </w:t>
      </w:r>
      <w:r>
        <w:t>to fund early stage projects.  As Hurst described</w:t>
      </w:r>
      <w:r>
        <w:rPr>
          <w:spacing w:val="-18"/>
        </w:rPr>
        <w:t xml:space="preserve"> </w:t>
      </w:r>
      <w:r>
        <w:t>it:</w:t>
      </w:r>
    </w:p>
    <w:p w:rsidR="00D702DE" w:rsidRDefault="00D702DE">
      <w:pPr>
        <w:pStyle w:val="BodyText"/>
        <w:spacing w:before="11"/>
        <w:rPr>
          <w:sz w:val="19"/>
        </w:rPr>
      </w:pPr>
    </w:p>
    <w:p w:rsidR="00D702DE" w:rsidRDefault="00514EB8">
      <w:pPr>
        <w:pStyle w:val="BodyText"/>
        <w:spacing w:line="232" w:lineRule="auto"/>
        <w:ind w:left="1380" w:right="2256" w:firstLine="719"/>
        <w:jc w:val="both"/>
      </w:pPr>
      <w:r>
        <w:t>In the early 1980s, a company like ours could have gotten corporate funding with just our idea. By the mid-1980s, we probably would have needed to have  started some lab work and have had some preliminary experimental data. Now, it’s hard to get a large ph</w:t>
      </w:r>
      <w:r>
        <w:t>armaceutical company to talk to you unless you’ve got some solid Phase I and Phase II clinical results and can demonstrate that you’ve got a  stable manufacturing process. And even then, they’ll cut some pretty tough terms with you.  When it comes to raisi</w:t>
      </w:r>
      <w:r>
        <w:t>ng capital today, it’s a buyers’</w:t>
      </w:r>
      <w:r>
        <w:rPr>
          <w:spacing w:val="-16"/>
        </w:rPr>
        <w:t xml:space="preserve"> </w:t>
      </w:r>
      <w:r>
        <w:t>market.</w:t>
      </w:r>
    </w:p>
    <w:p w:rsidR="00D702DE" w:rsidRDefault="00D702DE">
      <w:pPr>
        <w:pStyle w:val="BodyText"/>
        <w:spacing w:before="5"/>
        <w:rPr>
          <w:sz w:val="19"/>
        </w:rPr>
      </w:pPr>
    </w:p>
    <w:p w:rsidR="00D702DE" w:rsidRDefault="00514EB8">
      <w:pPr>
        <w:pStyle w:val="BodyText"/>
        <w:spacing w:line="232" w:lineRule="auto"/>
        <w:ind w:left="660" w:right="1534" w:firstLine="719"/>
        <w:jc w:val="both"/>
      </w:pPr>
      <w:r>
        <w:t>Nucleon was just about to receive another $6.0 million infusion from its venture capitalist. This funding, combined with existing cash on-hand, revenues, interest, and grants, would give Nucleon about $6.5 million.</w:t>
      </w:r>
      <w:r>
        <w:t xml:space="preserve"> Furthermore, if CRP-1 showed promise in pre-clinical trials, Hurst felt that Nucleon could raise enough money to pursue Phase I and II clinical trials. Some analysts were predicting that by 1991 or 1992, Wall Street would once again find biotechnology sto</w:t>
      </w:r>
      <w:r>
        <w:t>cks attractive  and there would be opportunities for smaller companies to raise money by selling stock to the public. Others thought the capital situation would stay tight for at least several more years. The possibility that a long awaited “shake-out” was</w:t>
      </w:r>
      <w:r>
        <w:t xml:space="preserve"> about to hit the biotechnology industry was making many investors cautious. One promising sign was that large corporations again seemed willing to fund some selected projects at very early stages of research. As Moore noted, “Today, some brand new start-u</w:t>
      </w:r>
      <w:r>
        <w:t>ps in new fields, like antisense, are cutting some deals on projects which are still years away from the</w:t>
      </w:r>
      <w:r>
        <w:rPr>
          <w:spacing w:val="-4"/>
        </w:rPr>
        <w:t xml:space="preserve"> </w:t>
      </w:r>
      <w:r>
        <w:t>clinic.”</w:t>
      </w:r>
    </w:p>
    <w:p w:rsidR="00D702DE" w:rsidRDefault="00D702DE">
      <w:pPr>
        <w:pStyle w:val="BodyText"/>
      </w:pPr>
    </w:p>
    <w:p w:rsidR="00D702DE" w:rsidRDefault="00D702DE">
      <w:pPr>
        <w:pStyle w:val="BodyText"/>
      </w:pPr>
    </w:p>
    <w:p w:rsidR="00D702DE" w:rsidRDefault="00D702DE">
      <w:pPr>
        <w:pStyle w:val="BodyText"/>
        <w:spacing w:before="2"/>
        <w:rPr>
          <w:sz w:val="15"/>
        </w:rPr>
      </w:pPr>
    </w:p>
    <w:p w:rsidR="00D702DE" w:rsidRDefault="00514EB8">
      <w:pPr>
        <w:pStyle w:val="Heading1"/>
        <w:ind w:left="1284"/>
      </w:pPr>
      <w:r>
        <w:t>Manufacturing Options for Phase I and Phase II CRP-1 Development</w:t>
      </w:r>
    </w:p>
    <w:p w:rsidR="00D702DE" w:rsidRDefault="00D702DE">
      <w:pPr>
        <w:pStyle w:val="BodyText"/>
        <w:spacing w:before="4"/>
        <w:rPr>
          <w:rFonts w:ascii="Arial"/>
          <w:b/>
          <w:sz w:val="27"/>
        </w:rPr>
      </w:pPr>
    </w:p>
    <w:p w:rsidR="00D702DE" w:rsidRDefault="00514EB8">
      <w:pPr>
        <w:pStyle w:val="BodyText"/>
        <w:spacing w:line="242" w:lineRule="exact"/>
        <w:ind w:left="660" w:right="1545" w:firstLine="719"/>
        <w:jc w:val="both"/>
      </w:pPr>
      <w:r>
        <w:t>Nucleon management contemplated three options to produce clinical grade C</w:t>
      </w:r>
      <w:r>
        <w:t>RP-1:  1) build  a new pilot facility, 2) contract CRP-1 production to a third-party, or 3) license manufacturing and marketing rights to another biotechnology company or pharmaceutical firm in exchange for up front cash payments and royalties on future pr</w:t>
      </w:r>
      <w:r>
        <w:t>oduct sales.  Each option is described</w:t>
      </w:r>
      <w:r>
        <w:rPr>
          <w:spacing w:val="-28"/>
        </w:rPr>
        <w:t xml:space="preserve"> </w:t>
      </w:r>
      <w:r>
        <w:t>below.</w:t>
      </w:r>
    </w:p>
    <w:p w:rsidR="00D702DE" w:rsidRDefault="00D702DE">
      <w:pPr>
        <w:pStyle w:val="BodyText"/>
        <w:spacing w:before="10"/>
        <w:rPr>
          <w:sz w:val="26"/>
        </w:rPr>
      </w:pPr>
    </w:p>
    <w:p w:rsidR="00D702DE" w:rsidRDefault="00514EB8">
      <w:pPr>
        <w:pStyle w:val="Heading2"/>
        <w:jc w:val="both"/>
      </w:pPr>
      <w:r>
        <w:t>The New Pilot Plant</w:t>
      </w:r>
    </w:p>
    <w:p w:rsidR="00D702DE" w:rsidRDefault="00D702DE">
      <w:pPr>
        <w:pStyle w:val="BodyText"/>
        <w:spacing w:before="10"/>
        <w:rPr>
          <w:rFonts w:ascii="Arial"/>
          <w:b/>
          <w:sz w:val="27"/>
        </w:rPr>
      </w:pPr>
    </w:p>
    <w:p w:rsidR="00D702DE" w:rsidRDefault="00514EB8">
      <w:pPr>
        <w:pStyle w:val="BodyText"/>
        <w:spacing w:line="232" w:lineRule="auto"/>
        <w:ind w:left="660" w:right="1535" w:firstLine="719"/>
        <w:jc w:val="both"/>
      </w:pPr>
      <w:r>
        <w:t>Nucleon commissioned an engineering consulting firm to study the physical requirements and costs of a new pilot plant (</w:t>
      </w:r>
      <w:r>
        <w:rPr>
          <w:b/>
        </w:rPr>
        <w:t>Exhibit 3</w:t>
      </w:r>
      <w:r>
        <w:t>). The proposed 5000 square-foot plant would be fully equipp</w:t>
      </w:r>
      <w:r>
        <w:t>ed with all the state-of-the-art processing equipment and environmental controls necessary to meet clinical production standards.  Planned capacity would meet Nucleon’s requirements for Phase  I and Phase II clinical trials. The pilot facility, however, co</w:t>
      </w:r>
      <w:r>
        <w:t>uld not be used to produce CRP-1  for  Phase III trials, because it would not meet FDA manufacturing standards for those trials. It was beyond</w:t>
      </w:r>
      <w:r>
        <w:rPr>
          <w:spacing w:val="-4"/>
        </w:rPr>
        <w:t xml:space="preserve"> </w:t>
      </w:r>
      <w:r>
        <w:t>Nucleon’s</w:t>
      </w:r>
      <w:r>
        <w:rPr>
          <w:spacing w:val="-4"/>
        </w:rPr>
        <w:t xml:space="preserve"> </w:t>
      </w:r>
      <w:r>
        <w:t>financial</w:t>
      </w:r>
      <w:r>
        <w:rPr>
          <w:spacing w:val="-4"/>
        </w:rPr>
        <w:t xml:space="preserve"> </w:t>
      </w:r>
      <w:r>
        <w:t>capability</w:t>
      </w:r>
      <w:r>
        <w:rPr>
          <w:spacing w:val="-4"/>
        </w:rPr>
        <w:t xml:space="preserve"> </w:t>
      </w:r>
      <w:r>
        <w:t>to</w:t>
      </w:r>
      <w:r>
        <w:rPr>
          <w:spacing w:val="-4"/>
        </w:rPr>
        <w:t xml:space="preserve"> </w:t>
      </w:r>
      <w:r>
        <w:t>build</w:t>
      </w:r>
      <w:r>
        <w:rPr>
          <w:spacing w:val="-4"/>
        </w:rPr>
        <w:t xml:space="preserve"> </w:t>
      </w:r>
      <w:r>
        <w:t>such</w:t>
      </w:r>
      <w:r>
        <w:rPr>
          <w:spacing w:val="-5"/>
        </w:rPr>
        <w:t xml:space="preserve"> </w:t>
      </w:r>
      <w:r>
        <w:t>a</w:t>
      </w:r>
      <w:r>
        <w:rPr>
          <w:spacing w:val="-3"/>
        </w:rPr>
        <w:t xml:space="preserve"> </w:t>
      </w:r>
      <w:r>
        <w:t>plant</w:t>
      </w:r>
      <w:r>
        <w:rPr>
          <w:spacing w:val="-4"/>
        </w:rPr>
        <w:t xml:space="preserve"> </w:t>
      </w:r>
      <w:r>
        <w:t>at</w:t>
      </w:r>
      <w:r>
        <w:rPr>
          <w:spacing w:val="-4"/>
        </w:rPr>
        <w:t xml:space="preserve"> </w:t>
      </w:r>
      <w:r>
        <w:t>this</w:t>
      </w:r>
      <w:r>
        <w:rPr>
          <w:spacing w:val="-4"/>
        </w:rPr>
        <w:t xml:space="preserve"> </w:t>
      </w:r>
      <w:r>
        <w:t>time.</w:t>
      </w:r>
    </w:p>
    <w:p w:rsidR="00D702DE" w:rsidRDefault="00D702DE">
      <w:pPr>
        <w:pStyle w:val="BodyText"/>
        <w:spacing w:before="5"/>
        <w:rPr>
          <w:sz w:val="19"/>
        </w:rPr>
      </w:pPr>
    </w:p>
    <w:p w:rsidR="00D702DE" w:rsidRDefault="00514EB8">
      <w:pPr>
        <w:pStyle w:val="BodyText"/>
        <w:spacing w:line="232" w:lineRule="auto"/>
        <w:ind w:left="660" w:right="1536" w:firstLine="719"/>
        <w:jc w:val="both"/>
      </w:pPr>
      <w:r>
        <w:t xml:space="preserve">The main advantage in building a pilot plant, as Moore saw it, was that it would enable the firm to develop the nucleus of a future larger-scale, in-house manufacturing capability. Because most of Nucleon’s employees were PhD scientists engaged in R&amp;D, it </w:t>
      </w:r>
      <w:r>
        <w:t xml:space="preserve">currently lacked supervisors and technicians who could carry out the maintenance, procurement, quality assurance, technical support, logistics, and other functions to operate even a small manufacturing plant. Recruiting people with  the appropriate skills </w:t>
      </w:r>
      <w:r>
        <w:t>and getting the manufacturing organization to work effectively would take time. Supplying clinical trials would allow manufacturing time to accumulate experience dealing  with many complicated technical and regulatory issues.  Moore</w:t>
      </w:r>
      <w:r>
        <w:rPr>
          <w:spacing w:val="-22"/>
        </w:rPr>
        <w:t xml:space="preserve"> </w:t>
      </w:r>
      <w:r>
        <w:t>noted:</w:t>
      </w:r>
    </w:p>
    <w:p w:rsidR="00D702DE" w:rsidRDefault="00D702DE">
      <w:pPr>
        <w:pStyle w:val="BodyText"/>
      </w:pPr>
    </w:p>
    <w:p w:rsidR="00D702DE" w:rsidRDefault="00514EB8">
      <w:pPr>
        <w:pStyle w:val="BodyText"/>
        <w:spacing w:before="7"/>
        <w:rPr>
          <w:sz w:val="18"/>
        </w:rPr>
      </w:pPr>
      <w:r>
        <w:pict>
          <v:line id="_x0000_s1050" style="position:absolute;z-index:1312;mso-wrap-distance-left:0;mso-wrap-distance-right:0;mso-position-horizontal-relative:page" from="70.55pt,14.25pt" to="523.45pt,14.25pt" strokeweight="1.44pt">
            <w10:wrap type="topAndBottom" anchorx="page"/>
          </v:line>
        </w:pict>
      </w:r>
    </w:p>
    <w:p w:rsidR="00D702DE" w:rsidRDefault="00514EB8">
      <w:pPr>
        <w:spacing w:line="205" w:lineRule="exact"/>
        <w:ind w:left="660"/>
        <w:rPr>
          <w:rFonts w:ascii="Arial"/>
          <w:b/>
          <w:sz w:val="18"/>
        </w:rPr>
      </w:pPr>
      <w:r>
        <w:rPr>
          <w:rFonts w:ascii="Arial"/>
          <w:b/>
          <w:sz w:val="18"/>
        </w:rPr>
        <w:t>8</w:t>
      </w:r>
    </w:p>
    <w:p w:rsidR="00D702DE" w:rsidRDefault="00D702DE">
      <w:pPr>
        <w:spacing w:line="205" w:lineRule="exact"/>
        <w:rPr>
          <w:rFonts w:ascii="Arial"/>
          <w:sz w:val="18"/>
        </w:rPr>
        <w:sectPr w:rsidR="00D702DE">
          <w:pgSz w:w="12240" w:h="15840"/>
          <w:pgMar w:top="540" w:right="260" w:bottom="680" w:left="780" w:header="233" w:footer="487" w:gutter="0"/>
          <w:cols w:space="720"/>
        </w:sectPr>
      </w:pPr>
    </w:p>
    <w:p w:rsidR="00D702DE" w:rsidRDefault="00514EB8">
      <w:pPr>
        <w:pStyle w:val="BodyText"/>
        <w:spacing w:before="480" w:line="232" w:lineRule="auto"/>
        <w:ind w:left="1740" w:right="1895" w:firstLine="719"/>
        <w:jc w:val="both"/>
      </w:pPr>
      <w:r>
        <w:lastRenderedPageBreak/>
        <w:t>If Nucleon waits until Phase III trials to bring manufacturing in-house, we might find ourselves with a “green” manufacturing organization just when the  stakes are highest. By starting now, we’ll have the basic manufac</w:t>
      </w:r>
      <w:r>
        <w:t>turing skills in- house and ready to go when we are really going to need them. The second big advantage of the pilot facility is that it would keep control over process and quality procedures firmly in Nucleon’s</w:t>
      </w:r>
      <w:r>
        <w:rPr>
          <w:spacing w:val="-13"/>
        </w:rPr>
        <w:t xml:space="preserve"> </w:t>
      </w:r>
      <w:r>
        <w:t>hands.</w:t>
      </w:r>
    </w:p>
    <w:p w:rsidR="00D702DE" w:rsidRDefault="00514EB8">
      <w:pPr>
        <w:pStyle w:val="BodyText"/>
        <w:spacing w:before="235" w:line="245" w:lineRule="exact"/>
        <w:ind w:left="1740"/>
      </w:pPr>
      <w:r>
        <w:t>Dawson added, “Scaling up will be muc</w:t>
      </w:r>
      <w:r>
        <w:t>h easier if we have our own pilot plant to experiment</w:t>
      </w:r>
    </w:p>
    <w:p w:rsidR="00D702DE" w:rsidRDefault="00514EB8">
      <w:pPr>
        <w:pStyle w:val="BodyText"/>
        <w:spacing w:line="245" w:lineRule="exact"/>
        <w:ind w:left="1020"/>
      </w:pPr>
      <w:r>
        <w:t>in.”</w:t>
      </w:r>
    </w:p>
    <w:p w:rsidR="00D702DE" w:rsidRDefault="00D702DE">
      <w:pPr>
        <w:pStyle w:val="BodyText"/>
        <w:spacing w:before="3"/>
        <w:rPr>
          <w:sz w:val="19"/>
        </w:rPr>
      </w:pPr>
    </w:p>
    <w:p w:rsidR="00D702DE" w:rsidRDefault="00514EB8">
      <w:pPr>
        <w:pStyle w:val="BodyText"/>
        <w:spacing w:line="232" w:lineRule="auto"/>
        <w:ind w:left="1020" w:right="1177" w:firstLine="719"/>
        <w:jc w:val="both"/>
      </w:pPr>
      <w:r>
        <w:t>Of course, building a pilot plant was risky. Moore knew that despite its promise in  laboratory experiments, it was uncertain at this point how well CRP-1 would work when tested in humans. Indeed,</w:t>
      </w:r>
      <w:r>
        <w:t xml:space="preserve"> if the history of the pharmaceutical industry  was any guide, most drugs that  entered clinical trials never reached the market. This high risk of failure was offset somewhat by the fact that CRP-1 had several potential therapeutic applications. If clinic</w:t>
      </w:r>
      <w:r>
        <w:t xml:space="preserve">al trials for burn wounds were not promising, it might be used in other applications. Nevertheless, Nucleon management had to consider the possibility of the pilot plant being idled if CRP-1 performed poorly in the clinic. Other products under development </w:t>
      </w:r>
      <w:r>
        <w:t>were still years away from requiring pilot manufacturing</w:t>
      </w:r>
      <w:r>
        <w:rPr>
          <w:spacing w:val="-14"/>
        </w:rPr>
        <w:t xml:space="preserve"> </w:t>
      </w:r>
      <w:r>
        <w:t>capabilities.</w:t>
      </w:r>
    </w:p>
    <w:p w:rsidR="00D702DE" w:rsidRDefault="00D702DE">
      <w:pPr>
        <w:pStyle w:val="BodyText"/>
        <w:spacing w:before="5"/>
        <w:rPr>
          <w:sz w:val="19"/>
        </w:rPr>
      </w:pPr>
    </w:p>
    <w:p w:rsidR="00D702DE" w:rsidRDefault="00514EB8">
      <w:pPr>
        <w:pStyle w:val="BodyText"/>
        <w:spacing w:line="232" w:lineRule="auto"/>
        <w:ind w:left="1020" w:right="1176" w:firstLine="719"/>
        <w:jc w:val="both"/>
      </w:pPr>
      <w:r>
        <w:t xml:space="preserve">Another major risk involved process uncertainty. The pilot plant would be designed to produce products using bacterial fermentation; but the company was already in the early stages of </w:t>
      </w:r>
      <w:r>
        <w:t>developing a version in mammalian cells, which would require vastly different process development capabilities.</w:t>
      </w:r>
    </w:p>
    <w:p w:rsidR="00D702DE" w:rsidRDefault="00D702DE">
      <w:pPr>
        <w:pStyle w:val="BodyText"/>
        <w:spacing w:before="5"/>
        <w:rPr>
          <w:sz w:val="19"/>
        </w:rPr>
      </w:pPr>
    </w:p>
    <w:p w:rsidR="00D702DE" w:rsidRDefault="00514EB8">
      <w:pPr>
        <w:pStyle w:val="BodyText"/>
        <w:spacing w:line="232" w:lineRule="auto"/>
        <w:ind w:left="1020" w:right="1175" w:firstLine="719"/>
        <w:jc w:val="both"/>
      </w:pPr>
      <w:r>
        <w:t>Some board members believed that Nucleon should focus all of its financial, managerial, and technical resources on R&amp;</w:t>
      </w:r>
      <w:r>
        <w:t>D. Manufacturing, they felt, would only distract the company from its  main mission of exploiting its unique scientific capabilities in the discovery of cell regulating  proteins.  According to</w:t>
      </w:r>
      <w:r>
        <w:rPr>
          <w:spacing w:val="-11"/>
        </w:rPr>
        <w:t xml:space="preserve"> </w:t>
      </w:r>
      <w:r>
        <w:t>Hurst:</w:t>
      </w:r>
    </w:p>
    <w:p w:rsidR="00D702DE" w:rsidRDefault="00D702DE">
      <w:pPr>
        <w:pStyle w:val="BodyText"/>
        <w:spacing w:before="5"/>
        <w:rPr>
          <w:sz w:val="19"/>
        </w:rPr>
      </w:pPr>
    </w:p>
    <w:p w:rsidR="00D702DE" w:rsidRDefault="00514EB8">
      <w:pPr>
        <w:pStyle w:val="BodyText"/>
        <w:spacing w:line="232" w:lineRule="auto"/>
        <w:ind w:left="1740" w:right="1895" w:firstLine="719"/>
        <w:jc w:val="both"/>
      </w:pPr>
      <w:r>
        <w:t>Our venture capitalists are asking us where we, as a c</w:t>
      </w:r>
      <w:r>
        <w:t>ompany, add the most value. As a small research-intensive company, we can be the “fastest guns on the block” when it comes to drug discovery. But that means funneling our limited resources into R&amp;D. Some of our investors are concerned that we could get bog</w:t>
      </w:r>
      <w:r>
        <w:t>ged down in manufacturing. On the other hand, it’s getting to the point where anyone can clone a gene. I keep wondering whether we can still differentiate ourselves on R&amp;D</w:t>
      </w:r>
      <w:r>
        <w:rPr>
          <w:spacing w:val="-5"/>
        </w:rPr>
        <w:t xml:space="preserve"> </w:t>
      </w:r>
      <w:r>
        <w:t>alone.</w:t>
      </w:r>
    </w:p>
    <w:p w:rsidR="00D702DE" w:rsidRDefault="00D702DE">
      <w:pPr>
        <w:pStyle w:val="BodyText"/>
        <w:spacing w:before="5"/>
        <w:rPr>
          <w:sz w:val="26"/>
        </w:rPr>
      </w:pPr>
    </w:p>
    <w:p w:rsidR="00D702DE" w:rsidRDefault="00514EB8">
      <w:pPr>
        <w:pStyle w:val="Heading2"/>
        <w:ind w:left="1020"/>
      </w:pPr>
      <w:r>
        <w:t>Contract Manufacturing</w:t>
      </w:r>
    </w:p>
    <w:p w:rsidR="00D702DE" w:rsidRDefault="00D702DE">
      <w:pPr>
        <w:pStyle w:val="BodyText"/>
        <w:spacing w:before="10"/>
        <w:rPr>
          <w:rFonts w:ascii="Arial"/>
          <w:b/>
          <w:sz w:val="27"/>
        </w:rPr>
      </w:pPr>
    </w:p>
    <w:p w:rsidR="00D702DE" w:rsidRDefault="00514EB8">
      <w:pPr>
        <w:pStyle w:val="BodyText"/>
        <w:spacing w:line="232" w:lineRule="auto"/>
        <w:ind w:left="1020" w:right="1170" w:firstLine="719"/>
        <w:jc w:val="both"/>
      </w:pPr>
      <w:r>
        <w:t xml:space="preserve">Contracting manufacturing was a second option for Phase I and Phase II  CRP-1  development. The biggest advantage of this option was that it required no major capital investments on Nucleon’s part. If CRP-1 failed, the contract could be easily terminated. </w:t>
      </w:r>
      <w:r>
        <w:t>Aside from relatively  small termination penalties, the company would have little else at risk. Another advantage was that companies supplying contract manufacturing services had facilities and personnel in</w:t>
      </w:r>
      <w:r>
        <w:rPr>
          <w:spacing w:val="-13"/>
        </w:rPr>
        <w:t xml:space="preserve"> </w:t>
      </w:r>
      <w:r>
        <w:t>place.</w:t>
      </w:r>
    </w:p>
    <w:p w:rsidR="00D702DE" w:rsidRDefault="00D702DE">
      <w:pPr>
        <w:pStyle w:val="BodyText"/>
        <w:spacing w:before="5"/>
        <w:rPr>
          <w:sz w:val="19"/>
        </w:rPr>
      </w:pPr>
    </w:p>
    <w:p w:rsidR="00D702DE" w:rsidRDefault="00514EB8">
      <w:pPr>
        <w:pStyle w:val="BodyText"/>
        <w:spacing w:before="1" w:line="232" w:lineRule="auto"/>
        <w:ind w:left="1020" w:right="1175" w:firstLine="719"/>
        <w:jc w:val="both"/>
      </w:pPr>
      <w:r>
        <w:pict>
          <v:line id="_x0000_s1049" style="position:absolute;left:0;text-align:left;z-index:1336;mso-wrap-distance-left:0;mso-wrap-distance-right:0;mso-position-horizontal-relative:page" from="88.55pt,115.45pt" to="541.45pt,115.45pt" strokeweight="1.44pt">
            <w10:wrap type="topAndBottom" anchorx="page"/>
          </v:line>
        </w:pict>
      </w:r>
      <w:r>
        <w:t xml:space="preserve">Contract production was not inexpensive </w:t>
      </w:r>
      <w:r>
        <w:t xml:space="preserve">(see </w:t>
      </w:r>
      <w:r>
        <w:rPr>
          <w:b/>
        </w:rPr>
        <w:t>Exhibit 4</w:t>
      </w:r>
      <w:r>
        <w:t>). There were very few U.S. companies capable and willing to contract manufacture pharmaceuticals from bacteria. Nucleon management was meeting with several potential contractors. These included other biotechnology companies who had excess ca</w:t>
      </w:r>
      <w:r>
        <w:t xml:space="preserve">pacity. In recent years, many biotechnology companies had built GMP plants in anticipation of future products. When product approvals were delayed or even rejected by the FDA, these companies found themselves with tremendous excess manufacturing capacity. </w:t>
      </w:r>
      <w:r>
        <w:t>Because of mounting financial pressures, some of these companies were providing contract manufacturing services. Some industry experts believed that excess manufacturing capacity would continue to accumulate during the next few</w:t>
      </w:r>
      <w:r>
        <w:rPr>
          <w:spacing w:val="-20"/>
        </w:rPr>
        <w:t xml:space="preserve"> </w:t>
      </w:r>
      <w:r>
        <w:t>years.</w:t>
      </w:r>
    </w:p>
    <w:p w:rsidR="00D702DE" w:rsidRDefault="00514EB8">
      <w:pPr>
        <w:ind w:right="1178"/>
        <w:jc w:val="right"/>
        <w:rPr>
          <w:rFonts w:ascii="Arial"/>
          <w:b/>
          <w:sz w:val="18"/>
        </w:rPr>
      </w:pPr>
      <w:r>
        <w:rPr>
          <w:rFonts w:ascii="Arial"/>
          <w:b/>
          <w:sz w:val="18"/>
        </w:rPr>
        <w:t>9</w:t>
      </w:r>
    </w:p>
    <w:p w:rsidR="00D702DE" w:rsidRDefault="00D702DE">
      <w:pPr>
        <w:jc w:val="right"/>
        <w:rPr>
          <w:rFonts w:ascii="Arial"/>
          <w:sz w:val="18"/>
        </w:rPr>
        <w:sectPr w:rsidR="00D702DE">
          <w:pgSz w:w="12240" w:h="15840"/>
          <w:pgMar w:top="540" w:right="260" w:bottom="680" w:left="780" w:header="233" w:footer="487" w:gutter="0"/>
          <w:cols w:space="720"/>
        </w:sectPr>
      </w:pPr>
    </w:p>
    <w:p w:rsidR="00D702DE" w:rsidRDefault="00D702DE">
      <w:pPr>
        <w:pStyle w:val="BodyText"/>
        <w:rPr>
          <w:rFonts w:ascii="Arial"/>
          <w:b/>
        </w:rPr>
      </w:pPr>
    </w:p>
    <w:p w:rsidR="00D702DE" w:rsidRDefault="00D702DE">
      <w:pPr>
        <w:pStyle w:val="BodyText"/>
        <w:rPr>
          <w:rFonts w:ascii="Arial"/>
          <w:b/>
          <w:sz w:val="16"/>
        </w:rPr>
      </w:pPr>
    </w:p>
    <w:p w:rsidR="00D702DE" w:rsidRDefault="00514EB8">
      <w:pPr>
        <w:pStyle w:val="BodyText"/>
        <w:spacing w:before="66" w:line="232" w:lineRule="auto"/>
        <w:ind w:left="660" w:right="1534" w:firstLine="719"/>
        <w:jc w:val="both"/>
      </w:pPr>
      <w:r>
        <w:t xml:space="preserve">One of contract manufacturing’s biggest risks was confidential information disclosure. It was virtually impossible for any contractor to provide reliable time and cost estimates without knowing many proprietary product details. Moreover, the complexity of </w:t>
      </w:r>
      <w:r>
        <w:t>the products and processes made estimates of time and cost painstaking; reaching an agreement could take many months. Even after a contract was signed, technology transfer and scale-up might take another nine months. Moore noted, “It will take about as muc</w:t>
      </w:r>
      <w:r>
        <w:t>h time to negotiate an agreement and transfer and validate the process as it will for us to build a pilot plant.”</w:t>
      </w:r>
    </w:p>
    <w:p w:rsidR="00D702DE" w:rsidRDefault="00D702DE">
      <w:pPr>
        <w:pStyle w:val="BodyText"/>
        <w:spacing w:before="5"/>
        <w:rPr>
          <w:sz w:val="19"/>
        </w:rPr>
      </w:pPr>
    </w:p>
    <w:p w:rsidR="00D702DE" w:rsidRDefault="00514EB8">
      <w:pPr>
        <w:pStyle w:val="BodyText"/>
        <w:spacing w:line="232" w:lineRule="auto"/>
        <w:ind w:left="660" w:right="1535" w:firstLine="719"/>
        <w:jc w:val="both"/>
      </w:pPr>
      <w:r>
        <w:t>Although production contracts were negotiated typically for fixed quantities (e.g., 100 g of CRP-1 over 10 months), in contract negotiations,</w:t>
      </w:r>
      <w:r>
        <w:t xml:space="preserve"> a balance needed to be struck. On one hand, it was risky to commit to large quantities of material--which might not be required if product specifications changed or the product was pulled from the clinic. On the other hand, short-term contracts usually in</w:t>
      </w:r>
      <w:r>
        <w:t>volved a higher price to offset fixed costs of scale-up and batch set-ups.</w:t>
      </w:r>
    </w:p>
    <w:p w:rsidR="00D702DE" w:rsidRDefault="00D702DE">
      <w:pPr>
        <w:pStyle w:val="BodyText"/>
        <w:spacing w:before="10"/>
        <w:rPr>
          <w:sz w:val="18"/>
        </w:rPr>
      </w:pPr>
    </w:p>
    <w:p w:rsidR="00D702DE" w:rsidRDefault="00514EB8">
      <w:pPr>
        <w:pStyle w:val="BodyText"/>
        <w:spacing w:line="242" w:lineRule="exact"/>
        <w:ind w:left="660" w:right="1538" w:firstLine="719"/>
        <w:jc w:val="both"/>
      </w:pPr>
      <w:r>
        <w:t>Under either the pilot plant or the contract manufacturing option, Nucleon would retain ownership of the product rights at least until the commencement of Phase III clinical trials</w:t>
      </w:r>
      <w:r>
        <w:t>. At that point, the company would enter into licensing and marketing with a large corporate partner. The options for Phase III trials and beyond are discussed later.</w:t>
      </w:r>
    </w:p>
    <w:p w:rsidR="00D702DE" w:rsidRDefault="00D702DE">
      <w:pPr>
        <w:pStyle w:val="BodyText"/>
        <w:spacing w:before="9"/>
        <w:rPr>
          <w:sz w:val="26"/>
        </w:rPr>
      </w:pPr>
    </w:p>
    <w:p w:rsidR="00D702DE" w:rsidRDefault="00514EB8">
      <w:pPr>
        <w:pStyle w:val="Heading2"/>
        <w:spacing w:before="1"/>
      </w:pPr>
      <w:r>
        <w:t>Licensing the Product to a Another Company</w:t>
      </w:r>
    </w:p>
    <w:p w:rsidR="00D702DE" w:rsidRDefault="00D702DE">
      <w:pPr>
        <w:pStyle w:val="BodyText"/>
        <w:spacing w:before="10"/>
        <w:rPr>
          <w:rFonts w:ascii="Arial"/>
          <w:b/>
          <w:sz w:val="27"/>
        </w:rPr>
      </w:pPr>
    </w:p>
    <w:p w:rsidR="00D702DE" w:rsidRDefault="00514EB8">
      <w:pPr>
        <w:pStyle w:val="BodyText"/>
        <w:spacing w:line="232" w:lineRule="auto"/>
        <w:ind w:left="660" w:right="1536" w:firstLine="719"/>
        <w:jc w:val="both"/>
      </w:pPr>
      <w:r>
        <w:t>Rather than waiting until Phase III trials t</w:t>
      </w:r>
      <w:r>
        <w:t>o enter a licensing deal, Nucleon could license the product immediately in exchange for fixed payments and future royalties. Under this option, the licensed partner, not Nucleon, would make all the requisite expenditures in clinical development, clinical m</w:t>
      </w:r>
      <w:r>
        <w:t>anufacturing, regulatory filings, and commercial manufacturing and marketing. The  partner would have the right to market CRP-1 to treat burn wounds. Nucleon would retain the right to develop CRP-1 for other therapeutic applications. Nucleon also would rec</w:t>
      </w:r>
      <w:r>
        <w:t>eive an up-front, fixed licensing fee and reimbursement for any additional development work it performed on the project. If and</w:t>
      </w:r>
      <w:r>
        <w:rPr>
          <w:spacing w:val="-3"/>
        </w:rPr>
        <w:t xml:space="preserve"> </w:t>
      </w:r>
      <w:r>
        <w:t>when</w:t>
      </w:r>
      <w:r>
        <w:rPr>
          <w:spacing w:val="-4"/>
        </w:rPr>
        <w:t xml:space="preserve"> </w:t>
      </w:r>
      <w:r>
        <w:t>CRP-1</w:t>
      </w:r>
      <w:r>
        <w:rPr>
          <w:spacing w:val="-3"/>
        </w:rPr>
        <w:t xml:space="preserve"> </w:t>
      </w:r>
      <w:r>
        <w:t>was</w:t>
      </w:r>
      <w:r>
        <w:rPr>
          <w:spacing w:val="-3"/>
        </w:rPr>
        <w:t xml:space="preserve"> </w:t>
      </w:r>
      <w:r>
        <w:t>commercialized,</w:t>
      </w:r>
      <w:r>
        <w:rPr>
          <w:spacing w:val="-3"/>
        </w:rPr>
        <w:t xml:space="preserve"> </w:t>
      </w:r>
      <w:r>
        <w:t>Nucleon</w:t>
      </w:r>
      <w:r>
        <w:rPr>
          <w:spacing w:val="-4"/>
        </w:rPr>
        <w:t xml:space="preserve"> </w:t>
      </w:r>
      <w:r>
        <w:t>would</w:t>
      </w:r>
      <w:r>
        <w:rPr>
          <w:spacing w:val="-3"/>
        </w:rPr>
        <w:t xml:space="preserve"> </w:t>
      </w:r>
      <w:r>
        <w:t>receive</w:t>
      </w:r>
      <w:r>
        <w:rPr>
          <w:spacing w:val="-3"/>
        </w:rPr>
        <w:t xml:space="preserve"> </w:t>
      </w:r>
      <w:r>
        <w:t>royalties</w:t>
      </w:r>
      <w:r>
        <w:rPr>
          <w:spacing w:val="-3"/>
        </w:rPr>
        <w:t xml:space="preserve"> </w:t>
      </w:r>
      <w:r>
        <w:t>as</w:t>
      </w:r>
      <w:r>
        <w:rPr>
          <w:spacing w:val="-3"/>
        </w:rPr>
        <w:t xml:space="preserve"> </w:t>
      </w:r>
      <w:r>
        <w:t>a</w:t>
      </w:r>
      <w:r>
        <w:rPr>
          <w:spacing w:val="-3"/>
        </w:rPr>
        <w:t xml:space="preserve"> </w:t>
      </w:r>
      <w:r>
        <w:t>percentage</w:t>
      </w:r>
      <w:r>
        <w:rPr>
          <w:spacing w:val="-3"/>
        </w:rPr>
        <w:t xml:space="preserve"> </w:t>
      </w:r>
      <w:r>
        <w:t>of</w:t>
      </w:r>
      <w:r>
        <w:rPr>
          <w:spacing w:val="-2"/>
        </w:rPr>
        <w:t xml:space="preserve"> </w:t>
      </w:r>
      <w:r>
        <w:t>sales.</w:t>
      </w:r>
    </w:p>
    <w:p w:rsidR="00D702DE" w:rsidRDefault="00D702DE">
      <w:pPr>
        <w:pStyle w:val="BodyText"/>
        <w:spacing w:before="5"/>
        <w:rPr>
          <w:sz w:val="19"/>
        </w:rPr>
      </w:pPr>
    </w:p>
    <w:p w:rsidR="00D702DE" w:rsidRDefault="00514EB8">
      <w:pPr>
        <w:pStyle w:val="BodyText"/>
        <w:spacing w:line="232" w:lineRule="auto"/>
        <w:ind w:left="660" w:right="1524" w:firstLine="719"/>
        <w:jc w:val="both"/>
      </w:pPr>
      <w:r>
        <w:t>This licensing option had the chief benefit of generating cash immediately; it also spared Nucleon from making large capital investments in clinical development and manufacturing, and allowed the company to concentrate all of its financial and human resour</w:t>
      </w:r>
      <w:r>
        <w:t>ces on R&amp;D.  Of course, if  the product turned out to be successful, Nucleon would receive far lower revenues than if it had  made all of these investments itself. Some Nucleon employees viewed this option as “mortgaging away” the company’s</w:t>
      </w:r>
      <w:r>
        <w:rPr>
          <w:spacing w:val="-8"/>
        </w:rPr>
        <w:t xml:space="preserve"> </w:t>
      </w:r>
      <w:r>
        <w:t>future.</w:t>
      </w:r>
    </w:p>
    <w:p w:rsidR="00D702DE" w:rsidRDefault="00D702DE">
      <w:pPr>
        <w:pStyle w:val="BodyText"/>
        <w:spacing w:before="5"/>
        <w:rPr>
          <w:sz w:val="19"/>
        </w:rPr>
      </w:pPr>
    </w:p>
    <w:p w:rsidR="00D702DE" w:rsidRDefault="00514EB8">
      <w:pPr>
        <w:pStyle w:val="BodyText"/>
        <w:spacing w:line="232" w:lineRule="auto"/>
        <w:ind w:left="660" w:right="1532" w:firstLine="719"/>
        <w:jc w:val="both"/>
      </w:pPr>
      <w:r>
        <w:t>Whether this option would mortgage the company’s future depended upon the exact terms  of the agreement that Nucleon could negotiate. While it was virtually impossible to know for sure what kind of deal could be struck, Nucleon management had conducted pre</w:t>
      </w:r>
      <w:r>
        <w:t>liminary discussions  with several firms. From these and consultations with the company’s venture capitalists, Moore determined that Nucleon could expect to reach an agreement with</w:t>
      </w:r>
      <w:r>
        <w:rPr>
          <w:spacing w:val="-35"/>
        </w:rPr>
        <w:t xml:space="preserve"> </w:t>
      </w:r>
      <w:r>
        <w:t>the following terms:</w:t>
      </w:r>
    </w:p>
    <w:p w:rsidR="00D702DE" w:rsidRDefault="00D702DE">
      <w:pPr>
        <w:pStyle w:val="BodyText"/>
        <w:spacing w:before="3"/>
        <w:rPr>
          <w:sz w:val="19"/>
        </w:rPr>
      </w:pPr>
    </w:p>
    <w:p w:rsidR="00D702DE" w:rsidRDefault="00514EB8">
      <w:pPr>
        <w:pStyle w:val="BodyText"/>
        <w:spacing w:line="235" w:lineRule="auto"/>
        <w:ind w:left="660" w:right="1540" w:firstLine="719"/>
        <w:jc w:val="both"/>
      </w:pPr>
      <w:r>
        <w:t>Upon signing the contract Nucleon would get a $3 mill</w:t>
      </w:r>
      <w:r>
        <w:t>ion payment. After the  FDA  approved CRP-1 for burn wounds, Nucleon would receive annual royalty payments from the partner equivalent to 5% of gross sales (</w:t>
      </w:r>
      <w:r>
        <w:rPr>
          <w:b/>
        </w:rPr>
        <w:t>Exhibit</w:t>
      </w:r>
      <w:r>
        <w:rPr>
          <w:b/>
          <w:spacing w:val="-19"/>
        </w:rPr>
        <w:t xml:space="preserve"> </w:t>
      </w:r>
      <w:r>
        <w:rPr>
          <w:b/>
        </w:rPr>
        <w:t>5</w:t>
      </w:r>
      <w:r>
        <w:t>).</w:t>
      </w:r>
    </w:p>
    <w:p w:rsidR="00D702DE" w:rsidRDefault="00D702DE">
      <w:pPr>
        <w:pStyle w:val="BodyText"/>
      </w:pPr>
    </w:p>
    <w:p w:rsidR="00D702DE" w:rsidRDefault="00D702DE">
      <w:pPr>
        <w:pStyle w:val="BodyText"/>
      </w:pPr>
    </w:p>
    <w:p w:rsidR="00D702DE" w:rsidRDefault="00D702DE">
      <w:pPr>
        <w:pStyle w:val="BodyText"/>
        <w:spacing w:before="1"/>
        <w:rPr>
          <w:sz w:val="15"/>
        </w:rPr>
      </w:pPr>
    </w:p>
    <w:p w:rsidR="00D702DE" w:rsidRDefault="00514EB8">
      <w:pPr>
        <w:pStyle w:val="Heading1"/>
        <w:ind w:left="1783"/>
      </w:pPr>
      <w:r>
        <w:t>Manufacturing Options for Phase III and Commercialization</w:t>
      </w:r>
    </w:p>
    <w:p w:rsidR="00D702DE" w:rsidRDefault="00D702DE">
      <w:pPr>
        <w:pStyle w:val="BodyText"/>
        <w:spacing w:before="4"/>
        <w:rPr>
          <w:rFonts w:ascii="Arial"/>
          <w:b/>
          <w:sz w:val="27"/>
        </w:rPr>
      </w:pPr>
    </w:p>
    <w:p w:rsidR="00D702DE" w:rsidRDefault="00514EB8">
      <w:pPr>
        <w:pStyle w:val="BodyText"/>
        <w:spacing w:line="242" w:lineRule="exact"/>
        <w:ind w:left="660" w:right="1537" w:firstLine="719"/>
        <w:jc w:val="both"/>
      </w:pPr>
      <w:r>
        <w:t>One of the chief advantag</w:t>
      </w:r>
      <w:r>
        <w:t>es of either in-house pilot manufacturing or contract manufacturing over immediate licensing was that it gave Nucleon more options if the project survived Phase I and</w:t>
      </w:r>
    </w:p>
    <w:p w:rsidR="00D702DE" w:rsidRDefault="00514EB8">
      <w:pPr>
        <w:pStyle w:val="BodyText"/>
      </w:pPr>
      <w:r>
        <w:pict>
          <v:line id="_x0000_s1048" style="position:absolute;z-index:1360;mso-wrap-distance-left:0;mso-wrap-distance-right:0;mso-position-horizontal-relative:page" from="70.55pt,15.15pt" to="523.45pt,15.15pt" strokeweight="1.44pt">
            <w10:wrap type="topAndBottom" anchorx="page"/>
          </v:line>
        </w:pict>
      </w:r>
    </w:p>
    <w:p w:rsidR="00D702DE" w:rsidRDefault="00514EB8">
      <w:pPr>
        <w:spacing w:line="205" w:lineRule="exact"/>
        <w:ind w:left="660"/>
        <w:rPr>
          <w:rFonts w:ascii="Arial"/>
          <w:b/>
          <w:sz w:val="18"/>
        </w:rPr>
      </w:pPr>
      <w:r>
        <w:rPr>
          <w:rFonts w:ascii="Arial"/>
          <w:b/>
          <w:sz w:val="18"/>
        </w:rPr>
        <w:t>10</w:t>
      </w:r>
    </w:p>
    <w:p w:rsidR="00D702DE" w:rsidRDefault="00D702DE">
      <w:pPr>
        <w:spacing w:line="205" w:lineRule="exact"/>
        <w:rPr>
          <w:rFonts w:ascii="Arial"/>
          <w:sz w:val="18"/>
        </w:rPr>
        <w:sectPr w:rsidR="00D702DE">
          <w:pgSz w:w="12240" w:h="15840"/>
          <w:pgMar w:top="540" w:right="260" w:bottom="680" w:left="780" w:header="233" w:footer="487" w:gutter="0"/>
          <w:cols w:space="720"/>
        </w:sectPr>
      </w:pPr>
    </w:p>
    <w:p w:rsidR="00D702DE" w:rsidRDefault="00D702DE">
      <w:pPr>
        <w:pStyle w:val="BodyText"/>
        <w:rPr>
          <w:rFonts w:ascii="Arial"/>
          <w:b/>
        </w:rPr>
      </w:pPr>
    </w:p>
    <w:p w:rsidR="00D702DE" w:rsidRDefault="00D702DE">
      <w:pPr>
        <w:pStyle w:val="BodyText"/>
        <w:spacing w:before="1"/>
        <w:rPr>
          <w:rFonts w:ascii="Arial"/>
          <w:b/>
          <w:sz w:val="21"/>
        </w:rPr>
      </w:pPr>
    </w:p>
    <w:p w:rsidR="00D702DE" w:rsidRDefault="00514EB8">
      <w:pPr>
        <w:pStyle w:val="BodyText"/>
        <w:spacing w:before="1" w:line="242" w:lineRule="exact"/>
        <w:ind w:left="1020" w:right="1177"/>
        <w:jc w:val="both"/>
      </w:pPr>
      <w:r>
        <w:t>Phase II trials. As noted earlier, under these two options, Nucleon intended to line up with a partner who would be responsible for conducting Phase III trials, handling regulatory filings and marketing the product. However, under such an arrangement, Nucl</w:t>
      </w:r>
      <w:r>
        <w:t>eon could either retain commercial manufacturing responsibilities or license these to the partner. Each of these approaches are discussed below.</w:t>
      </w:r>
    </w:p>
    <w:p w:rsidR="00D702DE" w:rsidRDefault="00D702DE">
      <w:pPr>
        <w:pStyle w:val="BodyText"/>
        <w:spacing w:before="10"/>
        <w:rPr>
          <w:sz w:val="26"/>
        </w:rPr>
      </w:pPr>
    </w:p>
    <w:p w:rsidR="00D702DE" w:rsidRDefault="00514EB8">
      <w:pPr>
        <w:pStyle w:val="Heading2"/>
        <w:ind w:left="1020"/>
        <w:jc w:val="both"/>
      </w:pPr>
      <w:r>
        <w:t>Vertically Integrate into Commercial Manufacturing</w:t>
      </w:r>
    </w:p>
    <w:p w:rsidR="00D702DE" w:rsidRDefault="00D702DE">
      <w:pPr>
        <w:pStyle w:val="BodyText"/>
        <w:spacing w:before="10"/>
        <w:rPr>
          <w:rFonts w:ascii="Arial"/>
          <w:b/>
          <w:sz w:val="27"/>
        </w:rPr>
      </w:pPr>
    </w:p>
    <w:p w:rsidR="00D702DE" w:rsidRDefault="00514EB8">
      <w:pPr>
        <w:pStyle w:val="BodyText"/>
        <w:spacing w:line="232" w:lineRule="auto"/>
        <w:ind w:left="1020" w:right="1175" w:firstLine="719"/>
        <w:jc w:val="both"/>
      </w:pPr>
      <w:r>
        <w:t>Before Phase III trials began, Nucleon could invest in a f</w:t>
      </w:r>
      <w:r>
        <w:t>ull-scale commercial manufacturing facility which met the FDA guidelines for Good Manufacturing Practice (</w:t>
      </w:r>
      <w:r>
        <w:rPr>
          <w:b/>
        </w:rPr>
        <w:t>Exhibit 6</w:t>
      </w:r>
      <w:r>
        <w:t>). The  FDA required that Phase III trials be supplied largely by the plant which would be used to supply the commercial market. Thus it would be necessary to commence construction in mid-1993 so that the plant could be fully validated and operational by t</w:t>
      </w:r>
      <w:r>
        <w:t>he scheduled commencement of Phase III trials.</w:t>
      </w:r>
    </w:p>
    <w:p w:rsidR="00D702DE" w:rsidRDefault="00D702DE">
      <w:pPr>
        <w:pStyle w:val="BodyText"/>
        <w:spacing w:before="3"/>
        <w:rPr>
          <w:sz w:val="19"/>
        </w:rPr>
      </w:pPr>
    </w:p>
    <w:p w:rsidR="00D702DE" w:rsidRDefault="00514EB8">
      <w:pPr>
        <w:pStyle w:val="BodyText"/>
        <w:spacing w:line="235" w:lineRule="auto"/>
        <w:ind w:left="1020" w:right="1176" w:firstLine="719"/>
        <w:jc w:val="both"/>
        <w:rPr>
          <w:sz w:val="16"/>
        </w:rPr>
      </w:pPr>
      <w:r>
        <w:t>Moore estimated that the costs of such a facility would be about $20 million, and another $1 million in development resources would be required to perform scale-up. He and  Nucleon’s  financial advisors belie</w:t>
      </w:r>
      <w:r>
        <w:t>ved that once the project cleared Phase II trials, it would have little difficulty raising the needed funds to build the plant. The company would also have to hire at least 20 people  to handle such functions as procurement, quality control, maintenance, t</w:t>
      </w:r>
      <w:r>
        <w:t>echnical support, and logistics.</w:t>
      </w:r>
      <w:r>
        <w:rPr>
          <w:position w:val="6"/>
          <w:sz w:val="16"/>
        </w:rPr>
        <w:t>4</w:t>
      </w:r>
    </w:p>
    <w:p w:rsidR="00D702DE" w:rsidRDefault="00D702DE">
      <w:pPr>
        <w:pStyle w:val="BodyText"/>
        <w:rPr>
          <w:sz w:val="19"/>
        </w:rPr>
      </w:pPr>
    </w:p>
    <w:p w:rsidR="00D702DE" w:rsidRDefault="00514EB8">
      <w:pPr>
        <w:pStyle w:val="BodyText"/>
        <w:spacing w:line="235" w:lineRule="auto"/>
        <w:ind w:left="1020" w:right="1176" w:firstLine="720"/>
        <w:jc w:val="both"/>
        <w:rPr>
          <w:sz w:val="16"/>
        </w:rPr>
      </w:pPr>
      <w:r>
        <w:t>It was difficult to know exactly what terms could be reached. If Nucleon built a commercial plant, it would be the sole supplier of CRP-1 to its marketing partner. Judging by what other firms in the industry were receivin</w:t>
      </w:r>
      <w:r>
        <w:t xml:space="preserve">g for similar products, Nucleon management estimated that the company could negotiate a combined supply contract and royalty agreement with the following terms:  Nucleon would receive a $5 million payment upon FDA approval of CRP-1 plus royalties equal to </w:t>
      </w:r>
      <w:r>
        <w:t>40% of the partner’s gross sales of the product.  Nucleon would sell CRP-1 to the partner at</w:t>
      </w:r>
      <w:r>
        <w:rPr>
          <w:spacing w:val="-21"/>
        </w:rPr>
        <w:t xml:space="preserve"> </w:t>
      </w:r>
      <w:r>
        <w:t>cost.</w:t>
      </w:r>
      <w:r>
        <w:rPr>
          <w:position w:val="6"/>
          <w:sz w:val="16"/>
        </w:rPr>
        <w:t>5</w:t>
      </w:r>
    </w:p>
    <w:p w:rsidR="00D702DE" w:rsidRDefault="00D702DE">
      <w:pPr>
        <w:pStyle w:val="BodyText"/>
        <w:spacing w:before="1"/>
        <w:rPr>
          <w:sz w:val="26"/>
        </w:rPr>
      </w:pPr>
    </w:p>
    <w:p w:rsidR="00D702DE" w:rsidRDefault="00514EB8">
      <w:pPr>
        <w:pStyle w:val="Heading2"/>
        <w:ind w:left="1020"/>
        <w:jc w:val="both"/>
      </w:pPr>
      <w:r>
        <w:t>Licensing Out Manufacturing and Marketing Rights at Phase III</w:t>
      </w:r>
    </w:p>
    <w:p w:rsidR="00D702DE" w:rsidRDefault="00D702DE">
      <w:pPr>
        <w:pStyle w:val="BodyText"/>
        <w:spacing w:before="10"/>
        <w:rPr>
          <w:rFonts w:ascii="Arial"/>
          <w:b/>
          <w:sz w:val="27"/>
        </w:rPr>
      </w:pPr>
    </w:p>
    <w:p w:rsidR="00D702DE" w:rsidRDefault="00514EB8">
      <w:pPr>
        <w:pStyle w:val="BodyText"/>
        <w:spacing w:line="232" w:lineRule="auto"/>
        <w:ind w:left="1020" w:right="1170" w:firstLine="719"/>
        <w:jc w:val="both"/>
      </w:pPr>
      <w:r>
        <w:t>A second option at the beginning of Phase III trials would be to license out both the manufa</w:t>
      </w:r>
      <w:r>
        <w:t>cturing and marketing rights to a partner. This option would be similar to that discussed above, except, in this case, the partner would also be responsible for Phase III and commercial manufacturing. Nucleon therefore would not have to invest the $20 mill</w:t>
      </w:r>
      <w:r>
        <w:t>ion in a commercial plant. Under this option, Nucleon could expect to receive a $7 million payment if and when CRP-1 was approved by the FDA. After that, Nucleon would receive a royalty equivalent to 10% of the partner’s gross sales of CRP-1.</w:t>
      </w:r>
    </w:p>
    <w:p w:rsidR="00D702DE" w:rsidRDefault="00D702DE">
      <w:pPr>
        <w:pStyle w:val="BodyText"/>
        <w:spacing w:before="5"/>
        <w:rPr>
          <w:sz w:val="19"/>
        </w:rPr>
      </w:pPr>
    </w:p>
    <w:p w:rsidR="00D702DE" w:rsidRDefault="00514EB8">
      <w:pPr>
        <w:pStyle w:val="BodyText"/>
        <w:spacing w:line="232" w:lineRule="auto"/>
        <w:ind w:left="1020" w:right="1176" w:firstLine="719"/>
        <w:jc w:val="both"/>
      </w:pPr>
      <w:r>
        <w:t>Moore recognized that Hurst leaned towards manufacturing CRP-1 in-house. He had said, “I keep asking myself, ‘How many times will we get to the plate?’ If I thought that this were our only chance, I’d go for the home run and take the risks of manufacturing</w:t>
      </w:r>
      <w:r>
        <w:t>.” For his part, Moore decided to review Nucleon’s options another time before making a recommendation.</w:t>
      </w:r>
    </w:p>
    <w:p w:rsidR="00D702DE" w:rsidRDefault="00D702DE">
      <w:pPr>
        <w:pStyle w:val="BodyText"/>
      </w:pPr>
    </w:p>
    <w:p w:rsidR="00D702DE" w:rsidRDefault="00D702DE">
      <w:pPr>
        <w:pStyle w:val="BodyText"/>
      </w:pPr>
    </w:p>
    <w:p w:rsidR="00D702DE" w:rsidRDefault="00D702DE">
      <w:pPr>
        <w:pStyle w:val="BodyText"/>
      </w:pPr>
    </w:p>
    <w:p w:rsidR="00D702DE" w:rsidRDefault="00D702DE">
      <w:pPr>
        <w:pStyle w:val="BodyText"/>
      </w:pPr>
    </w:p>
    <w:p w:rsidR="00D702DE" w:rsidRDefault="00D702DE">
      <w:pPr>
        <w:pStyle w:val="BodyText"/>
      </w:pPr>
    </w:p>
    <w:p w:rsidR="00D702DE" w:rsidRDefault="00D702DE">
      <w:pPr>
        <w:pStyle w:val="BodyText"/>
      </w:pPr>
    </w:p>
    <w:p w:rsidR="00D702DE" w:rsidRDefault="00D702DE">
      <w:pPr>
        <w:pStyle w:val="BodyText"/>
      </w:pPr>
    </w:p>
    <w:p w:rsidR="00D702DE" w:rsidRDefault="00514EB8">
      <w:pPr>
        <w:pStyle w:val="BodyText"/>
        <w:spacing w:before="11"/>
        <w:rPr>
          <w:sz w:val="13"/>
        </w:rPr>
      </w:pPr>
      <w:r>
        <w:pict>
          <v:group id="_x0000_s1045" style="position:absolute;margin-left:89.75pt;margin-top:10.6pt;width:146.7pt;height:.5pt;z-index:1384;mso-wrap-distance-left:0;mso-wrap-distance-right:0;mso-position-horizontal-relative:page" coordorigin="1795,212" coordsize="2934,10">
            <v:line id="_x0000_s1047" style="position:absolute" from="3312,217" to="1800,217" strokeweight=".48pt"/>
            <v:line id="_x0000_s1046" style="position:absolute" from="4723,217" to="3312,217" strokeweight=".48pt"/>
            <w10:wrap type="topAndBottom" anchorx="page"/>
          </v:group>
        </w:pict>
      </w:r>
    </w:p>
    <w:p w:rsidR="00D702DE" w:rsidRDefault="00D702DE">
      <w:pPr>
        <w:pStyle w:val="BodyText"/>
        <w:spacing w:before="7"/>
        <w:rPr>
          <w:sz w:val="10"/>
        </w:rPr>
      </w:pPr>
    </w:p>
    <w:p w:rsidR="00D702DE" w:rsidRDefault="00514EB8">
      <w:pPr>
        <w:spacing w:before="68" w:line="262" w:lineRule="exact"/>
        <w:ind w:left="1020"/>
        <w:rPr>
          <w:sz w:val="18"/>
        </w:rPr>
      </w:pPr>
      <w:r>
        <w:rPr>
          <w:position w:val="6"/>
          <w:sz w:val="16"/>
        </w:rPr>
        <w:t>4</w:t>
      </w:r>
      <w:r>
        <w:rPr>
          <w:sz w:val="18"/>
        </w:rPr>
        <w:t>This assumes the company already has a pilot plant with a staff of six.</w:t>
      </w:r>
    </w:p>
    <w:p w:rsidR="00D702DE" w:rsidRDefault="00514EB8">
      <w:pPr>
        <w:spacing w:line="262" w:lineRule="exact"/>
        <w:ind w:left="1020"/>
        <w:rPr>
          <w:sz w:val="18"/>
        </w:rPr>
      </w:pPr>
      <w:r>
        <w:pict>
          <v:line id="_x0000_s1044" style="position:absolute;left:0;text-align:left;z-index:1408;mso-wrap-distance-left:0;mso-wrap-distance-right:0;mso-position-horizontal-relative:page" from="88.55pt,17.85pt" to="541.45pt,17.85pt" strokeweight="1.44pt">
            <w10:wrap type="topAndBottom" anchorx="page"/>
          </v:line>
        </w:pict>
      </w:r>
      <w:r>
        <w:rPr>
          <w:position w:val="6"/>
          <w:sz w:val="16"/>
        </w:rPr>
        <w:t>5</w:t>
      </w:r>
      <w:r>
        <w:rPr>
          <w:sz w:val="18"/>
        </w:rPr>
        <w:t>All costs, except depreciation, would be reflected in the transfe</w:t>
      </w:r>
      <w:r>
        <w:rPr>
          <w:sz w:val="18"/>
        </w:rPr>
        <w:t>r price.</w:t>
      </w:r>
    </w:p>
    <w:p w:rsidR="00D702DE" w:rsidRDefault="00514EB8">
      <w:pPr>
        <w:ind w:right="1177"/>
        <w:jc w:val="right"/>
        <w:rPr>
          <w:rFonts w:ascii="Arial"/>
          <w:b/>
          <w:sz w:val="18"/>
        </w:rPr>
      </w:pPr>
      <w:r>
        <w:rPr>
          <w:rFonts w:ascii="Arial"/>
          <w:b/>
          <w:sz w:val="18"/>
        </w:rPr>
        <w:t>11</w:t>
      </w:r>
    </w:p>
    <w:p w:rsidR="00D702DE" w:rsidRDefault="00D702DE">
      <w:pPr>
        <w:jc w:val="right"/>
        <w:rPr>
          <w:rFonts w:ascii="Arial"/>
          <w:sz w:val="18"/>
        </w:rPr>
        <w:sectPr w:rsidR="00D702DE">
          <w:pgSz w:w="12240" w:h="15840"/>
          <w:pgMar w:top="540" w:right="260" w:bottom="680" w:left="780" w:header="233" w:footer="487" w:gutter="0"/>
          <w:cols w:space="720"/>
        </w:sectPr>
      </w:pPr>
    </w:p>
    <w:p w:rsidR="00D702DE" w:rsidRDefault="00D702DE">
      <w:pPr>
        <w:pStyle w:val="BodyText"/>
        <w:spacing w:before="10"/>
        <w:rPr>
          <w:rFonts w:ascii="Arial"/>
          <w:b/>
          <w:sz w:val="14"/>
        </w:rPr>
      </w:pPr>
    </w:p>
    <w:p w:rsidR="00D702DE" w:rsidRDefault="00D702DE">
      <w:pPr>
        <w:pStyle w:val="BodyText"/>
        <w:rPr>
          <w:rFonts w:ascii="Arial"/>
          <w:b/>
        </w:rPr>
      </w:pPr>
    </w:p>
    <w:p w:rsidR="00D702DE" w:rsidRDefault="00D702DE">
      <w:pPr>
        <w:pStyle w:val="BodyText"/>
        <w:rPr>
          <w:rFonts w:ascii="Arial"/>
          <w:b/>
        </w:rPr>
      </w:pPr>
    </w:p>
    <w:p w:rsidR="00D702DE" w:rsidRDefault="00D702DE">
      <w:pPr>
        <w:pStyle w:val="BodyText"/>
        <w:spacing w:before="9"/>
        <w:rPr>
          <w:rFonts w:ascii="Arial"/>
          <w:b/>
          <w:sz w:val="16"/>
        </w:rPr>
      </w:pPr>
    </w:p>
    <w:p w:rsidR="00D702DE" w:rsidRDefault="00514EB8">
      <w:pPr>
        <w:pStyle w:val="BodyText"/>
        <w:tabs>
          <w:tab w:val="left" w:pos="1718"/>
        </w:tabs>
        <w:spacing w:before="62"/>
        <w:ind w:left="660"/>
      </w:pPr>
      <w:r>
        <w:rPr>
          <w:b/>
        </w:rPr>
        <w:t>Exhibit</w:t>
      </w:r>
      <w:r>
        <w:rPr>
          <w:b/>
          <w:spacing w:val="-3"/>
        </w:rPr>
        <w:t xml:space="preserve"> </w:t>
      </w:r>
      <w:r>
        <w:rPr>
          <w:b/>
        </w:rPr>
        <w:t>1</w:t>
      </w:r>
      <w:r>
        <w:rPr>
          <w:b/>
        </w:rPr>
        <w:tab/>
      </w:r>
      <w:r>
        <w:t>Approximate Time Frame for CRP-1</w:t>
      </w:r>
      <w:r>
        <w:rPr>
          <w:spacing w:val="-15"/>
        </w:rPr>
        <w:t xml:space="preserve"> </w:t>
      </w:r>
      <w:r>
        <w:t>Project</w:t>
      </w:r>
    </w:p>
    <w:p w:rsidR="00D702DE" w:rsidRDefault="00D702DE">
      <w:pPr>
        <w:pStyle w:val="BodyText"/>
      </w:pPr>
    </w:p>
    <w:p w:rsidR="00D702DE" w:rsidRDefault="00D702DE">
      <w:pPr>
        <w:pStyle w:val="BodyText"/>
      </w:pPr>
    </w:p>
    <w:p w:rsidR="00D702DE" w:rsidRDefault="00D702DE">
      <w:pPr>
        <w:pStyle w:val="BodyText"/>
        <w:spacing w:before="7"/>
        <w:rPr>
          <w:sz w:val="17"/>
        </w:rPr>
      </w:pPr>
    </w:p>
    <w:p w:rsidR="00D702DE" w:rsidRDefault="00514EB8">
      <w:pPr>
        <w:pStyle w:val="BodyText"/>
        <w:tabs>
          <w:tab w:val="left" w:pos="3900"/>
        </w:tabs>
        <w:ind w:left="660"/>
      </w:pPr>
      <w:r>
        <w:t>April 1992</w:t>
      </w:r>
      <w:r>
        <w:tab/>
        <w:t>Begin Phase I Clinical</w:t>
      </w:r>
      <w:r>
        <w:rPr>
          <w:spacing w:val="-8"/>
        </w:rPr>
        <w:t xml:space="preserve"> </w:t>
      </w:r>
      <w:r>
        <w:t>Trials</w:t>
      </w:r>
    </w:p>
    <w:p w:rsidR="00D702DE" w:rsidRDefault="00D702DE">
      <w:pPr>
        <w:pStyle w:val="BodyText"/>
        <w:spacing w:before="10"/>
        <w:rPr>
          <w:sz w:val="18"/>
        </w:rPr>
      </w:pPr>
    </w:p>
    <w:p w:rsidR="00D702DE" w:rsidRDefault="00514EB8">
      <w:pPr>
        <w:pStyle w:val="BodyText"/>
        <w:tabs>
          <w:tab w:val="left" w:pos="3899"/>
        </w:tabs>
        <w:ind w:left="660"/>
      </w:pPr>
      <w:r>
        <w:t>December</w:t>
      </w:r>
      <w:r>
        <w:rPr>
          <w:spacing w:val="-2"/>
        </w:rPr>
        <w:t xml:space="preserve"> </w:t>
      </w:r>
      <w:r>
        <w:t>1992</w:t>
      </w:r>
      <w:r>
        <w:tab/>
        <w:t>Begin Phase II Clinical</w:t>
      </w:r>
      <w:r>
        <w:rPr>
          <w:spacing w:val="-17"/>
        </w:rPr>
        <w:t xml:space="preserve"> </w:t>
      </w:r>
      <w:r>
        <w:t>Trials</w:t>
      </w:r>
    </w:p>
    <w:p w:rsidR="00D702DE" w:rsidRDefault="00D702DE">
      <w:pPr>
        <w:pStyle w:val="BodyText"/>
        <w:spacing w:before="10"/>
        <w:rPr>
          <w:sz w:val="18"/>
        </w:rPr>
      </w:pPr>
    </w:p>
    <w:p w:rsidR="00D702DE" w:rsidRDefault="00514EB8">
      <w:pPr>
        <w:pStyle w:val="BodyText"/>
        <w:tabs>
          <w:tab w:val="left" w:pos="3899"/>
        </w:tabs>
        <w:ind w:left="660"/>
      </w:pPr>
      <w:r>
        <w:t>December</w:t>
      </w:r>
      <w:r>
        <w:rPr>
          <w:spacing w:val="-2"/>
        </w:rPr>
        <w:t xml:space="preserve"> </w:t>
      </w:r>
      <w:r>
        <w:t>1993</w:t>
      </w:r>
      <w:r>
        <w:tab/>
        <w:t>End Phase II Clinical</w:t>
      </w:r>
      <w:r>
        <w:rPr>
          <w:spacing w:val="-15"/>
        </w:rPr>
        <w:t xml:space="preserve"> </w:t>
      </w:r>
      <w:r>
        <w:t>Trials</w:t>
      </w:r>
    </w:p>
    <w:p w:rsidR="00D702DE" w:rsidRDefault="00D702DE">
      <w:pPr>
        <w:pStyle w:val="BodyText"/>
        <w:spacing w:before="7"/>
        <w:rPr>
          <w:sz w:val="18"/>
        </w:rPr>
      </w:pPr>
    </w:p>
    <w:p w:rsidR="00D702DE" w:rsidRDefault="00514EB8">
      <w:pPr>
        <w:pStyle w:val="BodyText"/>
        <w:tabs>
          <w:tab w:val="left" w:pos="3897"/>
        </w:tabs>
        <w:spacing w:before="1"/>
        <w:ind w:left="660"/>
      </w:pPr>
      <w:r>
        <w:t>June</w:t>
      </w:r>
      <w:r>
        <w:rPr>
          <w:spacing w:val="-1"/>
        </w:rPr>
        <w:t xml:space="preserve"> </w:t>
      </w:r>
      <w:r>
        <w:t>1994</w:t>
      </w:r>
      <w:r>
        <w:tab/>
      </w:r>
      <w:r>
        <w:t>Begin Phase III Clinical</w:t>
      </w:r>
      <w:r>
        <w:rPr>
          <w:spacing w:val="-9"/>
        </w:rPr>
        <w:t xml:space="preserve"> </w:t>
      </w:r>
      <w:r>
        <w:t>Trials</w:t>
      </w:r>
    </w:p>
    <w:p w:rsidR="00D702DE" w:rsidRDefault="00D702DE">
      <w:pPr>
        <w:pStyle w:val="BodyText"/>
        <w:spacing w:before="10"/>
        <w:rPr>
          <w:sz w:val="18"/>
        </w:rPr>
      </w:pPr>
    </w:p>
    <w:p w:rsidR="00D702DE" w:rsidRDefault="00514EB8">
      <w:pPr>
        <w:pStyle w:val="BodyText"/>
        <w:tabs>
          <w:tab w:val="left" w:pos="3896"/>
        </w:tabs>
        <w:ind w:left="660"/>
      </w:pPr>
      <w:r>
        <w:t>December</w:t>
      </w:r>
      <w:r>
        <w:rPr>
          <w:spacing w:val="-2"/>
        </w:rPr>
        <w:t xml:space="preserve"> </w:t>
      </w:r>
      <w:r>
        <w:t>1996</w:t>
      </w:r>
      <w:r>
        <w:tab/>
        <w:t>Complete Phase III Clinical Trials; File data with</w:t>
      </w:r>
      <w:r>
        <w:rPr>
          <w:spacing w:val="-16"/>
        </w:rPr>
        <w:t xml:space="preserve"> </w:t>
      </w:r>
      <w:r>
        <w:t>FDA</w:t>
      </w:r>
    </w:p>
    <w:p w:rsidR="00D702DE" w:rsidRDefault="00D702DE">
      <w:pPr>
        <w:pStyle w:val="BodyText"/>
        <w:spacing w:before="10"/>
        <w:rPr>
          <w:sz w:val="18"/>
        </w:rPr>
      </w:pPr>
    </w:p>
    <w:p w:rsidR="00D702DE" w:rsidRDefault="00514EB8">
      <w:pPr>
        <w:pStyle w:val="BodyText"/>
        <w:tabs>
          <w:tab w:val="left" w:pos="3898"/>
        </w:tabs>
        <w:ind w:left="660"/>
      </w:pPr>
      <w:r>
        <w:t>January</w:t>
      </w:r>
      <w:r>
        <w:rPr>
          <w:spacing w:val="-2"/>
        </w:rPr>
        <w:t xml:space="preserve"> </w:t>
      </w:r>
      <w:r>
        <w:t>1998</w:t>
      </w:r>
      <w:r>
        <w:tab/>
        <w:t>Expected FDA approval and commencement of</w:t>
      </w:r>
      <w:r>
        <w:rPr>
          <w:spacing w:val="-22"/>
        </w:rPr>
        <w:t xml:space="preserve"> </w:t>
      </w:r>
      <w:r>
        <w:t>sales</w:t>
      </w:r>
    </w:p>
    <w:p w:rsidR="00D702DE" w:rsidRDefault="00D702DE">
      <w:pPr>
        <w:pStyle w:val="BodyText"/>
      </w:pPr>
    </w:p>
    <w:p w:rsidR="00D702DE" w:rsidRDefault="00D702DE">
      <w:pPr>
        <w:pStyle w:val="BodyText"/>
      </w:pPr>
    </w:p>
    <w:p w:rsidR="00D702DE" w:rsidRDefault="00D702DE">
      <w:pPr>
        <w:pStyle w:val="BodyText"/>
      </w:pPr>
    </w:p>
    <w:p w:rsidR="00D702DE" w:rsidRDefault="00D702DE">
      <w:pPr>
        <w:pStyle w:val="BodyText"/>
      </w:pPr>
    </w:p>
    <w:p w:rsidR="00D702DE" w:rsidRDefault="00D702DE">
      <w:pPr>
        <w:pStyle w:val="BodyText"/>
      </w:pPr>
    </w:p>
    <w:p w:rsidR="00D702DE" w:rsidRDefault="00D702DE">
      <w:pPr>
        <w:pStyle w:val="BodyText"/>
      </w:pPr>
    </w:p>
    <w:p w:rsidR="00D702DE" w:rsidRDefault="00D702DE">
      <w:pPr>
        <w:pStyle w:val="BodyText"/>
      </w:pPr>
    </w:p>
    <w:p w:rsidR="00D702DE" w:rsidRDefault="00D702DE">
      <w:pPr>
        <w:pStyle w:val="BodyText"/>
      </w:pPr>
    </w:p>
    <w:p w:rsidR="00D702DE" w:rsidRDefault="00D702DE">
      <w:pPr>
        <w:pStyle w:val="BodyText"/>
      </w:pPr>
    </w:p>
    <w:p w:rsidR="00D702DE" w:rsidRDefault="00D702DE">
      <w:pPr>
        <w:pStyle w:val="BodyText"/>
      </w:pPr>
    </w:p>
    <w:p w:rsidR="00D702DE" w:rsidRDefault="00D702DE">
      <w:pPr>
        <w:pStyle w:val="BodyText"/>
      </w:pPr>
    </w:p>
    <w:p w:rsidR="00D702DE" w:rsidRDefault="00D702DE">
      <w:pPr>
        <w:pStyle w:val="BodyText"/>
      </w:pPr>
    </w:p>
    <w:p w:rsidR="00D702DE" w:rsidRDefault="00D702DE">
      <w:pPr>
        <w:pStyle w:val="BodyText"/>
      </w:pPr>
    </w:p>
    <w:p w:rsidR="00D702DE" w:rsidRDefault="00D702DE">
      <w:pPr>
        <w:pStyle w:val="BodyText"/>
      </w:pPr>
    </w:p>
    <w:p w:rsidR="00D702DE" w:rsidRDefault="00D702DE">
      <w:pPr>
        <w:pStyle w:val="BodyText"/>
      </w:pPr>
    </w:p>
    <w:p w:rsidR="00D702DE" w:rsidRDefault="00D702DE">
      <w:pPr>
        <w:pStyle w:val="BodyText"/>
      </w:pPr>
    </w:p>
    <w:p w:rsidR="00D702DE" w:rsidRDefault="00D702DE">
      <w:pPr>
        <w:pStyle w:val="BodyText"/>
      </w:pPr>
    </w:p>
    <w:p w:rsidR="00D702DE" w:rsidRDefault="00D702DE">
      <w:pPr>
        <w:pStyle w:val="BodyText"/>
      </w:pPr>
    </w:p>
    <w:p w:rsidR="00D702DE" w:rsidRDefault="00D702DE">
      <w:pPr>
        <w:pStyle w:val="BodyText"/>
      </w:pPr>
    </w:p>
    <w:p w:rsidR="00D702DE" w:rsidRDefault="00D702DE">
      <w:pPr>
        <w:pStyle w:val="BodyText"/>
      </w:pPr>
    </w:p>
    <w:p w:rsidR="00D702DE" w:rsidRDefault="00D702DE">
      <w:pPr>
        <w:pStyle w:val="BodyText"/>
      </w:pPr>
    </w:p>
    <w:p w:rsidR="00D702DE" w:rsidRDefault="00D702DE">
      <w:pPr>
        <w:pStyle w:val="BodyText"/>
      </w:pPr>
    </w:p>
    <w:p w:rsidR="00D702DE" w:rsidRDefault="00D702DE">
      <w:pPr>
        <w:pStyle w:val="BodyText"/>
      </w:pPr>
    </w:p>
    <w:p w:rsidR="00D702DE" w:rsidRDefault="00D702DE">
      <w:pPr>
        <w:pStyle w:val="BodyText"/>
      </w:pPr>
    </w:p>
    <w:p w:rsidR="00D702DE" w:rsidRDefault="00D702DE">
      <w:pPr>
        <w:pStyle w:val="BodyText"/>
      </w:pPr>
    </w:p>
    <w:p w:rsidR="00D702DE" w:rsidRDefault="00D702DE">
      <w:pPr>
        <w:pStyle w:val="BodyText"/>
      </w:pPr>
    </w:p>
    <w:p w:rsidR="00D702DE" w:rsidRDefault="00D702DE">
      <w:pPr>
        <w:pStyle w:val="BodyText"/>
      </w:pPr>
    </w:p>
    <w:p w:rsidR="00D702DE" w:rsidRDefault="00D702DE">
      <w:pPr>
        <w:pStyle w:val="BodyText"/>
      </w:pPr>
    </w:p>
    <w:p w:rsidR="00D702DE" w:rsidRDefault="00D702DE">
      <w:pPr>
        <w:pStyle w:val="BodyText"/>
      </w:pPr>
    </w:p>
    <w:p w:rsidR="00D702DE" w:rsidRDefault="00D702DE">
      <w:pPr>
        <w:pStyle w:val="BodyText"/>
      </w:pPr>
    </w:p>
    <w:p w:rsidR="00D702DE" w:rsidRDefault="00D702DE">
      <w:pPr>
        <w:pStyle w:val="BodyText"/>
      </w:pPr>
    </w:p>
    <w:p w:rsidR="00D702DE" w:rsidRDefault="00D702DE">
      <w:pPr>
        <w:pStyle w:val="BodyText"/>
      </w:pPr>
    </w:p>
    <w:p w:rsidR="00D702DE" w:rsidRDefault="00D702DE">
      <w:pPr>
        <w:pStyle w:val="BodyText"/>
      </w:pPr>
    </w:p>
    <w:p w:rsidR="00D702DE" w:rsidRDefault="00D702DE">
      <w:pPr>
        <w:pStyle w:val="BodyText"/>
      </w:pPr>
    </w:p>
    <w:p w:rsidR="00D702DE" w:rsidRDefault="00D702DE">
      <w:pPr>
        <w:pStyle w:val="BodyText"/>
      </w:pPr>
    </w:p>
    <w:p w:rsidR="00D702DE" w:rsidRDefault="00D702DE">
      <w:pPr>
        <w:pStyle w:val="BodyText"/>
      </w:pPr>
    </w:p>
    <w:p w:rsidR="00D702DE" w:rsidRDefault="00D702DE">
      <w:pPr>
        <w:pStyle w:val="BodyText"/>
      </w:pPr>
    </w:p>
    <w:p w:rsidR="00D702DE" w:rsidRDefault="00514EB8">
      <w:pPr>
        <w:pStyle w:val="BodyText"/>
        <w:spacing w:before="7"/>
      </w:pPr>
      <w:r>
        <w:pict>
          <v:line id="_x0000_s1043" style="position:absolute;z-index:1432;mso-wrap-distance-left:0;mso-wrap-distance-right:0;mso-position-horizontal-relative:page" from="70.55pt,15.5pt" to="523.45pt,15.5pt" strokeweight="1.44pt">
            <w10:wrap type="topAndBottom" anchorx="page"/>
          </v:line>
        </w:pict>
      </w:r>
    </w:p>
    <w:p w:rsidR="00D702DE" w:rsidRDefault="00514EB8">
      <w:pPr>
        <w:spacing w:line="205" w:lineRule="exact"/>
        <w:ind w:left="660"/>
        <w:rPr>
          <w:rFonts w:ascii="Arial"/>
          <w:b/>
          <w:sz w:val="18"/>
        </w:rPr>
      </w:pPr>
      <w:r>
        <w:rPr>
          <w:rFonts w:ascii="Arial"/>
          <w:b/>
          <w:sz w:val="18"/>
        </w:rPr>
        <w:t>12</w:t>
      </w:r>
    </w:p>
    <w:p w:rsidR="00D702DE" w:rsidRDefault="00D702DE">
      <w:pPr>
        <w:spacing w:line="205" w:lineRule="exact"/>
        <w:rPr>
          <w:rFonts w:ascii="Arial"/>
          <w:sz w:val="18"/>
        </w:rPr>
        <w:sectPr w:rsidR="00D702DE">
          <w:pgSz w:w="12240" w:h="15840"/>
          <w:pgMar w:top="540" w:right="260" w:bottom="680" w:left="780" w:header="233" w:footer="487" w:gutter="0"/>
          <w:cols w:space="720"/>
        </w:sectPr>
      </w:pPr>
    </w:p>
    <w:p w:rsidR="00D702DE" w:rsidRDefault="00514EB8">
      <w:pPr>
        <w:tabs>
          <w:tab w:val="left" w:pos="2078"/>
        </w:tabs>
        <w:spacing w:before="720"/>
        <w:ind w:left="1020"/>
        <w:rPr>
          <w:sz w:val="16"/>
        </w:rPr>
      </w:pPr>
      <w:r>
        <w:rPr>
          <w:b/>
          <w:sz w:val="20"/>
        </w:rPr>
        <w:lastRenderedPageBreak/>
        <w:t>Exhibit</w:t>
      </w:r>
      <w:r>
        <w:rPr>
          <w:b/>
          <w:spacing w:val="-3"/>
          <w:sz w:val="20"/>
        </w:rPr>
        <w:t xml:space="preserve"> </w:t>
      </w:r>
      <w:r>
        <w:rPr>
          <w:b/>
          <w:sz w:val="20"/>
        </w:rPr>
        <w:t>2</w:t>
      </w:r>
      <w:r>
        <w:rPr>
          <w:b/>
          <w:sz w:val="20"/>
        </w:rPr>
        <w:tab/>
      </w:r>
      <w:r>
        <w:rPr>
          <w:sz w:val="20"/>
        </w:rPr>
        <w:t>Process Flow for</w:t>
      </w:r>
      <w:r>
        <w:rPr>
          <w:spacing w:val="-14"/>
          <w:sz w:val="20"/>
        </w:rPr>
        <w:t xml:space="preserve"> </w:t>
      </w:r>
      <w:r>
        <w:rPr>
          <w:sz w:val="20"/>
        </w:rPr>
        <w:t>CRP-1</w:t>
      </w:r>
      <w:r>
        <w:rPr>
          <w:position w:val="6"/>
          <w:sz w:val="16"/>
        </w:rPr>
        <w:t>1</w:t>
      </w:r>
    </w:p>
    <w:p w:rsidR="00D702DE" w:rsidRDefault="00514EB8">
      <w:pPr>
        <w:pStyle w:val="BodyText"/>
        <w:spacing w:before="11"/>
        <w:rPr>
          <w:sz w:val="25"/>
        </w:rPr>
      </w:pPr>
      <w:r>
        <w:rPr>
          <w:noProof/>
        </w:rPr>
        <w:drawing>
          <wp:anchor distT="0" distB="0" distL="0" distR="0" simplePos="0" relativeHeight="1456" behindDoc="0" locked="0" layoutInCell="1" allowOverlap="1">
            <wp:simplePos x="0" y="0"/>
            <wp:positionH relativeFrom="page">
              <wp:posOffset>2683764</wp:posOffset>
            </wp:positionH>
            <wp:positionV relativeFrom="paragraph">
              <wp:posOffset>229294</wp:posOffset>
            </wp:positionV>
            <wp:extent cx="2828543" cy="6996683"/>
            <wp:effectExtent l="0" t="0" r="0" b="0"/>
            <wp:wrapTopAndBottom/>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0" cstate="print"/>
                    <a:stretch>
                      <a:fillRect/>
                    </a:stretch>
                  </pic:blipFill>
                  <pic:spPr>
                    <a:xfrm>
                      <a:off x="0" y="0"/>
                      <a:ext cx="2828543" cy="6996683"/>
                    </a:xfrm>
                    <a:prstGeom prst="rect">
                      <a:avLst/>
                    </a:prstGeom>
                  </pic:spPr>
                </pic:pic>
              </a:graphicData>
            </a:graphic>
          </wp:anchor>
        </w:drawing>
      </w:r>
    </w:p>
    <w:p w:rsidR="00D702DE" w:rsidRDefault="00D702DE">
      <w:pPr>
        <w:pStyle w:val="BodyText"/>
      </w:pPr>
    </w:p>
    <w:p w:rsidR="00D702DE" w:rsidRDefault="00514EB8">
      <w:pPr>
        <w:pStyle w:val="BodyText"/>
        <w:spacing w:before="5"/>
        <w:rPr>
          <w:sz w:val="27"/>
        </w:rPr>
      </w:pPr>
      <w:r>
        <w:pict>
          <v:group id="_x0000_s1040" style="position:absolute;margin-left:89.75pt;margin-top:19pt;width:146.7pt;height:.5pt;z-index:1480;mso-wrap-distance-left:0;mso-wrap-distance-right:0;mso-position-horizontal-relative:page" coordorigin="1795,380" coordsize="2934,10">
            <v:line id="_x0000_s1042" style="position:absolute" from="3312,385" to="1800,385" strokeweight=".48pt"/>
            <v:line id="_x0000_s1041" style="position:absolute" from="4723,385" to="3312,385" strokeweight=".48pt"/>
            <w10:wrap type="topAndBottom" anchorx="page"/>
          </v:group>
        </w:pict>
      </w:r>
    </w:p>
    <w:p w:rsidR="00D702DE" w:rsidRDefault="00D702DE">
      <w:pPr>
        <w:pStyle w:val="BodyText"/>
        <w:spacing w:before="4"/>
        <w:rPr>
          <w:sz w:val="19"/>
        </w:rPr>
      </w:pPr>
    </w:p>
    <w:p w:rsidR="00D702DE" w:rsidRDefault="00514EB8">
      <w:pPr>
        <w:spacing w:line="216" w:lineRule="exact"/>
        <w:ind w:left="1020" w:right="1156" w:hanging="1"/>
        <w:rPr>
          <w:sz w:val="18"/>
        </w:rPr>
      </w:pPr>
      <w:r>
        <w:pict>
          <v:line id="_x0000_s1039" style="position:absolute;left:0;text-align:left;z-index:1504;mso-wrap-distance-left:0;mso-wrap-distance-right:0;mso-position-horizontal-relative:page" from="88.55pt,26.85pt" to="541.45pt,26.85pt" strokeweight="1.44pt">
            <w10:wrap type="topAndBottom" anchorx="page"/>
          </v:line>
        </w:pict>
      </w:r>
      <w:r>
        <w:rPr>
          <w:position w:val="6"/>
          <w:sz w:val="16"/>
        </w:rPr>
        <w:t xml:space="preserve">1 </w:t>
      </w:r>
      <w:r>
        <w:rPr>
          <w:sz w:val="18"/>
        </w:rPr>
        <w:t>Diagram does not include holding points where work-in-process is stored between operations. The diagram also does not include quality control steps which are conducted after every operation.</w:t>
      </w:r>
    </w:p>
    <w:p w:rsidR="00D702DE" w:rsidRDefault="00514EB8">
      <w:pPr>
        <w:ind w:right="1177"/>
        <w:jc w:val="right"/>
        <w:rPr>
          <w:rFonts w:ascii="Arial"/>
          <w:b/>
          <w:sz w:val="18"/>
        </w:rPr>
      </w:pPr>
      <w:r>
        <w:rPr>
          <w:rFonts w:ascii="Arial"/>
          <w:b/>
          <w:sz w:val="18"/>
        </w:rPr>
        <w:t>13</w:t>
      </w:r>
    </w:p>
    <w:p w:rsidR="00D702DE" w:rsidRDefault="00D702DE">
      <w:pPr>
        <w:jc w:val="right"/>
        <w:rPr>
          <w:rFonts w:ascii="Arial"/>
          <w:sz w:val="18"/>
        </w:rPr>
        <w:sectPr w:rsidR="00D702DE">
          <w:pgSz w:w="12240" w:h="15840"/>
          <w:pgMar w:top="540" w:right="260" w:bottom="680" w:left="780" w:header="233" w:footer="487" w:gutter="0"/>
          <w:cols w:space="720"/>
        </w:sectPr>
      </w:pPr>
    </w:p>
    <w:p w:rsidR="00D702DE" w:rsidRDefault="00D702DE">
      <w:pPr>
        <w:pStyle w:val="BodyText"/>
        <w:spacing w:before="10"/>
        <w:rPr>
          <w:rFonts w:ascii="Arial"/>
          <w:b/>
          <w:sz w:val="14"/>
        </w:rPr>
      </w:pPr>
    </w:p>
    <w:p w:rsidR="00D702DE" w:rsidRDefault="00D702DE">
      <w:pPr>
        <w:pStyle w:val="BodyText"/>
        <w:rPr>
          <w:rFonts w:ascii="Arial"/>
          <w:b/>
        </w:rPr>
      </w:pPr>
    </w:p>
    <w:p w:rsidR="00D702DE" w:rsidRDefault="00D702DE">
      <w:pPr>
        <w:pStyle w:val="BodyText"/>
        <w:rPr>
          <w:rFonts w:ascii="Arial"/>
          <w:b/>
        </w:rPr>
      </w:pPr>
    </w:p>
    <w:p w:rsidR="00D702DE" w:rsidRDefault="00D702DE">
      <w:pPr>
        <w:pStyle w:val="BodyText"/>
        <w:spacing w:before="9"/>
        <w:rPr>
          <w:rFonts w:ascii="Arial"/>
          <w:b/>
          <w:sz w:val="16"/>
        </w:rPr>
      </w:pPr>
    </w:p>
    <w:p w:rsidR="00D702DE" w:rsidRDefault="00514EB8">
      <w:pPr>
        <w:tabs>
          <w:tab w:val="left" w:pos="1718"/>
        </w:tabs>
        <w:spacing w:before="62"/>
        <w:ind w:left="660"/>
        <w:rPr>
          <w:sz w:val="20"/>
        </w:rPr>
      </w:pPr>
      <w:r>
        <w:rPr>
          <w:b/>
          <w:sz w:val="20"/>
        </w:rPr>
        <w:t>Exhibit</w:t>
      </w:r>
      <w:r>
        <w:rPr>
          <w:b/>
          <w:spacing w:val="-3"/>
          <w:sz w:val="20"/>
        </w:rPr>
        <w:t xml:space="preserve"> </w:t>
      </w:r>
      <w:r>
        <w:rPr>
          <w:b/>
          <w:sz w:val="20"/>
        </w:rPr>
        <w:t>2</w:t>
      </w:r>
      <w:r>
        <w:rPr>
          <w:b/>
          <w:sz w:val="20"/>
        </w:rPr>
        <w:tab/>
      </w:r>
      <w:r>
        <w:rPr>
          <w:sz w:val="20"/>
        </w:rPr>
        <w:t>Process Flow for CRP-1</w:t>
      </w:r>
      <w:r>
        <w:rPr>
          <w:spacing w:val="-25"/>
          <w:sz w:val="20"/>
        </w:rPr>
        <w:t xml:space="preserve"> </w:t>
      </w:r>
      <w:r>
        <w:rPr>
          <w:sz w:val="20"/>
        </w:rPr>
        <w:t>(continued)</w:t>
      </w:r>
    </w:p>
    <w:p w:rsidR="00D702DE" w:rsidRDefault="00D702DE">
      <w:pPr>
        <w:pStyle w:val="BodyText"/>
        <w:spacing w:before="2"/>
        <w:rPr>
          <w:sz w:val="19"/>
        </w:rPr>
      </w:pPr>
    </w:p>
    <w:p w:rsidR="00D702DE" w:rsidRDefault="00514EB8">
      <w:pPr>
        <w:pStyle w:val="BodyText"/>
        <w:spacing w:before="1" w:line="232" w:lineRule="auto"/>
        <w:ind w:left="660" w:right="1540" w:firstLine="719"/>
        <w:jc w:val="both"/>
      </w:pPr>
      <w:r>
        <w:t>Fermentation: A process in which organisms such as bacteria or yeast are suspended in a nutrient growth medium, consisting of sugars, salts, and amino acids (protein building blocks), at an appropriate temperature and aeration level (oxygen and other gases</w:t>
      </w:r>
      <w:r>
        <w:t>) in order to promote these organisms’ growth and metabolism. The desired products of the organisms’ metabolism may be the whole organism itself, metabolic products, modified compounds, or in this case proteins.</w:t>
      </w:r>
    </w:p>
    <w:p w:rsidR="00D702DE" w:rsidRDefault="00D702DE">
      <w:pPr>
        <w:pStyle w:val="BodyText"/>
        <w:spacing w:before="10"/>
        <w:rPr>
          <w:sz w:val="18"/>
        </w:rPr>
      </w:pPr>
    </w:p>
    <w:p w:rsidR="00D702DE" w:rsidRDefault="00514EB8">
      <w:pPr>
        <w:pStyle w:val="BodyText"/>
        <w:spacing w:line="242" w:lineRule="exact"/>
        <w:ind w:left="660" w:right="1540" w:firstLine="719"/>
        <w:jc w:val="both"/>
      </w:pPr>
      <w:r>
        <w:t>Cell Lysis: In cases where the protein of i</w:t>
      </w:r>
      <w:r>
        <w:t>nterest is not excreted by the cell into the surrounding medium but remains inside, the cell needs to be broken open to obtain the protein. This process is known as cell lysis. Lysis can be done mechanically or chemically.</w:t>
      </w:r>
    </w:p>
    <w:p w:rsidR="00D702DE" w:rsidRDefault="00D702DE">
      <w:pPr>
        <w:pStyle w:val="BodyText"/>
        <w:spacing w:before="11"/>
        <w:rPr>
          <w:sz w:val="19"/>
        </w:rPr>
      </w:pPr>
    </w:p>
    <w:p w:rsidR="00D702DE" w:rsidRDefault="00514EB8">
      <w:pPr>
        <w:pStyle w:val="BodyText"/>
        <w:spacing w:line="232" w:lineRule="auto"/>
        <w:ind w:left="660" w:right="1540" w:firstLine="719"/>
        <w:jc w:val="both"/>
      </w:pPr>
      <w:r>
        <w:t>Isolation and Purification: Afte</w:t>
      </w:r>
      <w:r>
        <w:t>r cells are lysed, the protein of interest must be isolated and purified from among all of the other contents of the cell. Initially, methods such as centrifugation (using centrifugal force to separate heavy and light debris) and chemical precipitation can</w:t>
      </w:r>
      <w:r>
        <w:t xml:space="preserve"> be used to concentrate the mixture.</w:t>
      </w:r>
    </w:p>
    <w:p w:rsidR="00D702DE" w:rsidRDefault="00D702DE">
      <w:pPr>
        <w:pStyle w:val="BodyText"/>
        <w:spacing w:before="10"/>
        <w:rPr>
          <w:sz w:val="18"/>
        </w:rPr>
      </w:pPr>
    </w:p>
    <w:p w:rsidR="00D702DE" w:rsidRDefault="00514EB8">
      <w:pPr>
        <w:pStyle w:val="BodyText"/>
        <w:spacing w:line="242" w:lineRule="exact"/>
        <w:ind w:left="660" w:right="1536" w:firstLine="719"/>
        <w:jc w:val="both"/>
      </w:pPr>
      <w:r>
        <w:t>After a series of initial separation steps have been performed, finer, more precise separation techniques can be employed to isolate the protein of interest from other similar protein molecules.  For example, chromatog</w:t>
      </w:r>
      <w:r>
        <w:t>raphy isolated substances based upon their ability to separate between a liquid and a</w:t>
      </w:r>
      <w:r>
        <w:rPr>
          <w:spacing w:val="-4"/>
        </w:rPr>
        <w:t xml:space="preserve"> </w:t>
      </w:r>
      <w:r>
        <w:t>solid.</w:t>
      </w:r>
    </w:p>
    <w:p w:rsidR="00D702DE" w:rsidRDefault="00D702DE">
      <w:pPr>
        <w:pStyle w:val="BodyText"/>
        <w:spacing w:before="1"/>
        <w:rPr>
          <w:sz w:val="19"/>
        </w:rPr>
      </w:pPr>
    </w:p>
    <w:p w:rsidR="00D702DE" w:rsidRDefault="00514EB8">
      <w:pPr>
        <w:pStyle w:val="BodyText"/>
        <w:spacing w:before="1" w:line="242" w:lineRule="exact"/>
        <w:ind w:left="660" w:right="1530" w:firstLine="719"/>
        <w:jc w:val="both"/>
      </w:pPr>
      <w:r>
        <w:t>Formulation: In drug formulation, the protein of interest is put into an appropriate medium for administration as a therapeutic drug. The protein may by dissolved</w:t>
      </w:r>
      <w:r>
        <w:t xml:space="preserve"> in purified water or another pure solvent such as ethanol for injection. In some cases, a protein must be formulated to be applied  in a topical form such as a cream or put in an aerosol suspension. The challenge is to ensure the drug’s safety and</w:t>
      </w:r>
      <w:r>
        <w:rPr>
          <w:spacing w:val="-10"/>
        </w:rPr>
        <w:t xml:space="preserve"> </w:t>
      </w:r>
      <w:r>
        <w:t>efficac</w:t>
      </w:r>
      <w:r>
        <w:t>y.</w:t>
      </w:r>
    </w:p>
    <w:p w:rsidR="00D702DE" w:rsidRDefault="00D702DE">
      <w:pPr>
        <w:pStyle w:val="BodyText"/>
        <w:spacing w:before="5"/>
        <w:rPr>
          <w:sz w:val="19"/>
        </w:rPr>
      </w:pPr>
    </w:p>
    <w:p w:rsidR="00D702DE" w:rsidRDefault="00514EB8">
      <w:pPr>
        <w:pStyle w:val="BodyText"/>
        <w:spacing w:before="1" w:line="240" w:lineRule="exact"/>
        <w:ind w:left="660" w:right="1540" w:firstLine="719"/>
        <w:jc w:val="both"/>
      </w:pPr>
      <w:r>
        <w:t>Filling: The therapeutic is then placed in an appropriate container under sterile conditions and is packaged and labelled.</w:t>
      </w:r>
    </w:p>
    <w:p w:rsidR="00D702DE" w:rsidRDefault="00D702DE">
      <w:pPr>
        <w:pStyle w:val="BodyText"/>
      </w:pPr>
    </w:p>
    <w:p w:rsidR="00D702DE" w:rsidRDefault="00D702DE">
      <w:pPr>
        <w:pStyle w:val="BodyText"/>
      </w:pPr>
    </w:p>
    <w:p w:rsidR="00D702DE" w:rsidRDefault="00D702DE">
      <w:pPr>
        <w:pStyle w:val="BodyText"/>
      </w:pPr>
    </w:p>
    <w:p w:rsidR="00D702DE" w:rsidRDefault="00D702DE">
      <w:pPr>
        <w:pStyle w:val="BodyText"/>
      </w:pPr>
    </w:p>
    <w:p w:rsidR="00D702DE" w:rsidRDefault="00D702DE">
      <w:pPr>
        <w:pStyle w:val="BodyText"/>
      </w:pPr>
    </w:p>
    <w:p w:rsidR="00D702DE" w:rsidRDefault="00D702DE">
      <w:pPr>
        <w:pStyle w:val="BodyText"/>
      </w:pPr>
    </w:p>
    <w:p w:rsidR="00D702DE" w:rsidRDefault="00D702DE">
      <w:pPr>
        <w:pStyle w:val="BodyText"/>
      </w:pPr>
    </w:p>
    <w:p w:rsidR="00D702DE" w:rsidRDefault="00D702DE">
      <w:pPr>
        <w:pStyle w:val="BodyText"/>
      </w:pPr>
    </w:p>
    <w:p w:rsidR="00D702DE" w:rsidRDefault="00D702DE">
      <w:pPr>
        <w:pStyle w:val="BodyText"/>
      </w:pPr>
    </w:p>
    <w:p w:rsidR="00D702DE" w:rsidRDefault="00D702DE">
      <w:pPr>
        <w:pStyle w:val="BodyText"/>
      </w:pPr>
    </w:p>
    <w:p w:rsidR="00D702DE" w:rsidRDefault="00D702DE">
      <w:pPr>
        <w:pStyle w:val="BodyText"/>
      </w:pPr>
    </w:p>
    <w:p w:rsidR="00D702DE" w:rsidRDefault="00D702DE">
      <w:pPr>
        <w:pStyle w:val="BodyText"/>
      </w:pPr>
    </w:p>
    <w:p w:rsidR="00D702DE" w:rsidRDefault="00D702DE">
      <w:pPr>
        <w:pStyle w:val="BodyText"/>
      </w:pPr>
    </w:p>
    <w:p w:rsidR="00D702DE" w:rsidRDefault="00D702DE">
      <w:pPr>
        <w:pStyle w:val="BodyText"/>
      </w:pPr>
    </w:p>
    <w:p w:rsidR="00D702DE" w:rsidRDefault="00D702DE">
      <w:pPr>
        <w:pStyle w:val="BodyText"/>
      </w:pPr>
    </w:p>
    <w:p w:rsidR="00D702DE" w:rsidRDefault="00D702DE">
      <w:pPr>
        <w:pStyle w:val="BodyText"/>
      </w:pPr>
    </w:p>
    <w:p w:rsidR="00D702DE" w:rsidRDefault="00D702DE">
      <w:pPr>
        <w:pStyle w:val="BodyText"/>
      </w:pPr>
    </w:p>
    <w:p w:rsidR="00D702DE" w:rsidRDefault="00D702DE">
      <w:pPr>
        <w:pStyle w:val="BodyText"/>
      </w:pPr>
    </w:p>
    <w:p w:rsidR="00D702DE" w:rsidRDefault="00D702DE">
      <w:pPr>
        <w:pStyle w:val="BodyText"/>
      </w:pPr>
    </w:p>
    <w:p w:rsidR="00D702DE" w:rsidRDefault="00D702DE">
      <w:pPr>
        <w:pStyle w:val="BodyText"/>
      </w:pPr>
    </w:p>
    <w:p w:rsidR="00D702DE" w:rsidRDefault="00D702DE">
      <w:pPr>
        <w:pStyle w:val="BodyText"/>
      </w:pPr>
    </w:p>
    <w:p w:rsidR="00D702DE" w:rsidRDefault="00D702DE">
      <w:pPr>
        <w:pStyle w:val="BodyText"/>
      </w:pPr>
    </w:p>
    <w:p w:rsidR="00D702DE" w:rsidRDefault="00514EB8">
      <w:pPr>
        <w:pStyle w:val="BodyText"/>
        <w:rPr>
          <w:sz w:val="29"/>
        </w:rPr>
      </w:pPr>
      <w:r>
        <w:pict>
          <v:line id="_x0000_s1038" style="position:absolute;z-index:1528;mso-wrap-distance-left:0;mso-wrap-distance-right:0;mso-position-horizontal-relative:page" from="70.55pt,20.7pt" to="523.45pt,20.7pt" strokeweight="1.44pt">
            <w10:wrap type="topAndBottom" anchorx="page"/>
          </v:line>
        </w:pict>
      </w:r>
    </w:p>
    <w:p w:rsidR="00D702DE" w:rsidRDefault="00514EB8">
      <w:pPr>
        <w:spacing w:line="205" w:lineRule="exact"/>
        <w:ind w:left="660"/>
        <w:rPr>
          <w:rFonts w:ascii="Arial"/>
          <w:b/>
          <w:sz w:val="18"/>
        </w:rPr>
      </w:pPr>
      <w:r>
        <w:rPr>
          <w:rFonts w:ascii="Arial"/>
          <w:b/>
          <w:sz w:val="18"/>
        </w:rPr>
        <w:t>14</w:t>
      </w:r>
    </w:p>
    <w:p w:rsidR="00D702DE" w:rsidRDefault="00D702DE">
      <w:pPr>
        <w:spacing w:line="205" w:lineRule="exact"/>
        <w:rPr>
          <w:rFonts w:ascii="Arial"/>
          <w:sz w:val="18"/>
        </w:rPr>
        <w:sectPr w:rsidR="00D702DE">
          <w:pgSz w:w="12240" w:h="15840"/>
          <w:pgMar w:top="540" w:right="260" w:bottom="680" w:left="780" w:header="233" w:footer="487" w:gutter="0"/>
          <w:cols w:space="720"/>
        </w:sectPr>
      </w:pPr>
    </w:p>
    <w:p w:rsidR="00D702DE" w:rsidRDefault="00514EB8">
      <w:pPr>
        <w:pStyle w:val="BodyText"/>
        <w:tabs>
          <w:tab w:val="left" w:pos="2078"/>
        </w:tabs>
        <w:spacing w:before="714" w:line="242" w:lineRule="exact"/>
        <w:ind w:left="2071" w:right="1553" w:hanging="1052"/>
      </w:pPr>
      <w:r>
        <w:rPr>
          <w:b/>
        </w:rPr>
        <w:lastRenderedPageBreak/>
        <w:t>Exhibit</w:t>
      </w:r>
      <w:r>
        <w:rPr>
          <w:b/>
          <w:spacing w:val="-3"/>
        </w:rPr>
        <w:t xml:space="preserve"> </w:t>
      </w:r>
      <w:r>
        <w:rPr>
          <w:b/>
        </w:rPr>
        <w:t>3</w:t>
      </w:r>
      <w:r>
        <w:rPr>
          <w:b/>
        </w:rPr>
        <w:tab/>
      </w:r>
      <w:r>
        <w:rPr>
          <w:b/>
        </w:rPr>
        <w:tab/>
      </w:r>
      <w:r>
        <w:t>Time and Cost to Obtain Phase II Data for CRP-1 (Burn Treatment) Using a</w:t>
      </w:r>
      <w:r>
        <w:rPr>
          <w:spacing w:val="-28"/>
        </w:rPr>
        <w:t xml:space="preserve"> </w:t>
      </w:r>
      <w:r>
        <w:t>New</w:t>
      </w:r>
      <w:r>
        <w:rPr>
          <w:spacing w:val="-3"/>
        </w:rPr>
        <w:t xml:space="preserve"> </w:t>
      </w:r>
      <w:r>
        <w:t>Pilot</w:t>
      </w:r>
      <w:r>
        <w:rPr>
          <w:w w:val="99"/>
        </w:rPr>
        <w:t xml:space="preserve"> </w:t>
      </w:r>
      <w:r>
        <w:t>Facility for Clinical-grade Production of CRP-1. Midrange estimate.</w:t>
      </w:r>
      <w:r>
        <w:rPr>
          <w:spacing w:val="-9"/>
        </w:rPr>
        <w:t xml:space="preserve"> </w:t>
      </w:r>
      <w:r>
        <w:t>($000)</w:t>
      </w:r>
    </w:p>
    <w:p w:rsidR="00D702DE" w:rsidRDefault="00D702DE">
      <w:pPr>
        <w:pStyle w:val="BodyText"/>
        <w:spacing w:before="6"/>
      </w:pPr>
    </w:p>
    <w:tbl>
      <w:tblPr>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031"/>
        <w:gridCol w:w="1168"/>
        <w:gridCol w:w="1337"/>
        <w:gridCol w:w="1245"/>
        <w:gridCol w:w="1435"/>
      </w:tblGrid>
      <w:tr w:rsidR="00D702DE">
        <w:trPr>
          <w:trHeight w:hRule="exact" w:val="530"/>
        </w:trPr>
        <w:tc>
          <w:tcPr>
            <w:tcW w:w="4031" w:type="dxa"/>
            <w:tcBorders>
              <w:left w:val="nil"/>
              <w:right w:val="nil"/>
            </w:tcBorders>
          </w:tcPr>
          <w:p w:rsidR="00D702DE" w:rsidRDefault="00514EB8">
            <w:pPr>
              <w:pStyle w:val="TableParagraph"/>
              <w:spacing w:before="48"/>
              <w:ind w:left="115"/>
              <w:jc w:val="left"/>
              <w:rPr>
                <w:b/>
                <w:sz w:val="18"/>
              </w:rPr>
            </w:pPr>
            <w:r>
              <w:rPr>
                <w:b/>
                <w:sz w:val="18"/>
              </w:rPr>
              <w:t>Pilot Facility</w:t>
            </w:r>
          </w:p>
        </w:tc>
        <w:tc>
          <w:tcPr>
            <w:tcW w:w="1168" w:type="dxa"/>
            <w:tcBorders>
              <w:left w:val="nil"/>
              <w:right w:val="nil"/>
            </w:tcBorders>
          </w:tcPr>
          <w:p w:rsidR="00D702DE" w:rsidRDefault="00514EB8">
            <w:pPr>
              <w:pStyle w:val="TableParagraph"/>
              <w:spacing w:before="48"/>
              <w:ind w:right="409"/>
              <w:rPr>
                <w:b/>
                <w:sz w:val="18"/>
              </w:rPr>
            </w:pPr>
            <w:r>
              <w:rPr>
                <w:b/>
                <w:sz w:val="18"/>
              </w:rPr>
              <w:t>1991</w:t>
            </w:r>
          </w:p>
        </w:tc>
        <w:tc>
          <w:tcPr>
            <w:tcW w:w="1337" w:type="dxa"/>
            <w:tcBorders>
              <w:left w:val="nil"/>
              <w:right w:val="nil"/>
            </w:tcBorders>
          </w:tcPr>
          <w:p w:rsidR="00D702DE" w:rsidRDefault="00514EB8">
            <w:pPr>
              <w:pStyle w:val="TableParagraph"/>
              <w:spacing w:before="48"/>
              <w:ind w:left="517"/>
              <w:jc w:val="left"/>
              <w:rPr>
                <w:b/>
                <w:sz w:val="18"/>
              </w:rPr>
            </w:pPr>
            <w:r>
              <w:rPr>
                <w:b/>
                <w:sz w:val="18"/>
              </w:rPr>
              <w:t>1992</w:t>
            </w:r>
          </w:p>
        </w:tc>
        <w:tc>
          <w:tcPr>
            <w:tcW w:w="1245" w:type="dxa"/>
            <w:tcBorders>
              <w:left w:val="nil"/>
              <w:right w:val="nil"/>
            </w:tcBorders>
          </w:tcPr>
          <w:p w:rsidR="00D702DE" w:rsidRDefault="00514EB8">
            <w:pPr>
              <w:pStyle w:val="TableParagraph"/>
              <w:spacing w:before="48"/>
              <w:ind w:right="329"/>
              <w:rPr>
                <w:b/>
                <w:sz w:val="18"/>
              </w:rPr>
            </w:pPr>
            <w:r>
              <w:rPr>
                <w:b/>
                <w:sz w:val="18"/>
              </w:rPr>
              <w:t>1993</w:t>
            </w:r>
          </w:p>
        </w:tc>
        <w:tc>
          <w:tcPr>
            <w:tcW w:w="1435" w:type="dxa"/>
            <w:tcBorders>
              <w:left w:val="nil"/>
              <w:right w:val="nil"/>
            </w:tcBorders>
          </w:tcPr>
          <w:p w:rsidR="00D702DE" w:rsidRDefault="00514EB8">
            <w:pPr>
              <w:pStyle w:val="TableParagraph"/>
              <w:spacing w:before="48" w:line="256" w:lineRule="auto"/>
              <w:ind w:left="549" w:right="205" w:hanging="219"/>
              <w:jc w:val="left"/>
              <w:rPr>
                <w:b/>
                <w:sz w:val="18"/>
              </w:rPr>
            </w:pPr>
            <w:r>
              <w:rPr>
                <w:b/>
                <w:sz w:val="18"/>
              </w:rPr>
              <w:t>Total Thru 12/93</w:t>
            </w:r>
          </w:p>
        </w:tc>
      </w:tr>
      <w:tr w:rsidR="00D702DE">
        <w:trPr>
          <w:trHeight w:hRule="exact" w:val="315"/>
        </w:trPr>
        <w:tc>
          <w:tcPr>
            <w:tcW w:w="4031" w:type="dxa"/>
            <w:tcBorders>
              <w:left w:val="nil"/>
              <w:bottom w:val="nil"/>
              <w:right w:val="nil"/>
            </w:tcBorders>
          </w:tcPr>
          <w:p w:rsidR="00D702DE" w:rsidRDefault="00514EB8">
            <w:pPr>
              <w:pStyle w:val="TableParagraph"/>
              <w:spacing w:before="47"/>
              <w:ind w:left="115"/>
              <w:jc w:val="left"/>
              <w:rPr>
                <w:sz w:val="18"/>
              </w:rPr>
            </w:pPr>
            <w:r>
              <w:rPr>
                <w:sz w:val="18"/>
              </w:rPr>
              <w:t>Construction and Equipment Costs</w:t>
            </w:r>
          </w:p>
        </w:tc>
        <w:tc>
          <w:tcPr>
            <w:tcW w:w="1168" w:type="dxa"/>
            <w:tcBorders>
              <w:left w:val="nil"/>
              <w:bottom w:val="nil"/>
              <w:right w:val="nil"/>
            </w:tcBorders>
          </w:tcPr>
          <w:p w:rsidR="00D702DE" w:rsidRDefault="00514EB8">
            <w:pPr>
              <w:pStyle w:val="TableParagraph"/>
              <w:spacing w:before="47"/>
              <w:ind w:right="401"/>
              <w:rPr>
                <w:sz w:val="18"/>
              </w:rPr>
            </w:pPr>
            <w:r>
              <w:rPr>
                <w:sz w:val="18"/>
              </w:rPr>
              <w:t>3,100</w:t>
            </w:r>
          </w:p>
        </w:tc>
        <w:tc>
          <w:tcPr>
            <w:tcW w:w="1337" w:type="dxa"/>
            <w:tcBorders>
              <w:left w:val="nil"/>
              <w:bottom w:val="nil"/>
              <w:right w:val="nil"/>
            </w:tcBorders>
          </w:tcPr>
          <w:p w:rsidR="00D702DE" w:rsidRDefault="00514EB8">
            <w:pPr>
              <w:pStyle w:val="TableParagraph"/>
              <w:spacing w:before="47"/>
              <w:ind w:left="274"/>
              <w:jc w:val="center"/>
              <w:rPr>
                <w:sz w:val="18"/>
              </w:rPr>
            </w:pPr>
            <w:r>
              <w:rPr>
                <w:sz w:val="18"/>
              </w:rPr>
              <w:t>0</w:t>
            </w:r>
          </w:p>
        </w:tc>
        <w:tc>
          <w:tcPr>
            <w:tcW w:w="1245" w:type="dxa"/>
            <w:tcBorders>
              <w:left w:val="nil"/>
              <w:bottom w:val="nil"/>
              <w:right w:val="nil"/>
            </w:tcBorders>
          </w:tcPr>
          <w:p w:rsidR="00D702DE" w:rsidRDefault="00514EB8">
            <w:pPr>
              <w:pStyle w:val="TableParagraph"/>
              <w:spacing w:before="47"/>
              <w:ind w:right="373"/>
              <w:rPr>
                <w:sz w:val="18"/>
              </w:rPr>
            </w:pPr>
            <w:r>
              <w:rPr>
                <w:sz w:val="18"/>
              </w:rPr>
              <w:t>0</w:t>
            </w:r>
          </w:p>
        </w:tc>
        <w:tc>
          <w:tcPr>
            <w:tcW w:w="1435" w:type="dxa"/>
            <w:tcBorders>
              <w:left w:val="nil"/>
              <w:bottom w:val="nil"/>
              <w:right w:val="nil"/>
            </w:tcBorders>
          </w:tcPr>
          <w:p w:rsidR="00D702DE" w:rsidRDefault="00514EB8">
            <w:pPr>
              <w:pStyle w:val="TableParagraph"/>
              <w:spacing w:before="47"/>
              <w:ind w:right="459"/>
              <w:rPr>
                <w:sz w:val="18"/>
              </w:rPr>
            </w:pPr>
            <w:r>
              <w:rPr>
                <w:sz w:val="18"/>
              </w:rPr>
              <w:t>3,100</w:t>
            </w:r>
          </w:p>
        </w:tc>
      </w:tr>
      <w:tr w:rsidR="00D702DE">
        <w:trPr>
          <w:trHeight w:hRule="exact" w:val="300"/>
        </w:trPr>
        <w:tc>
          <w:tcPr>
            <w:tcW w:w="4031" w:type="dxa"/>
            <w:tcBorders>
              <w:top w:val="nil"/>
              <w:left w:val="nil"/>
              <w:bottom w:val="nil"/>
              <w:right w:val="nil"/>
            </w:tcBorders>
          </w:tcPr>
          <w:p w:rsidR="00D702DE" w:rsidRDefault="00514EB8">
            <w:pPr>
              <w:pStyle w:val="TableParagraph"/>
              <w:ind w:left="115"/>
              <w:jc w:val="left"/>
              <w:rPr>
                <w:sz w:val="18"/>
              </w:rPr>
            </w:pPr>
            <w:r>
              <w:rPr>
                <w:sz w:val="18"/>
              </w:rPr>
              <w:t>Variable Production Expenses and Overhead</w:t>
            </w:r>
          </w:p>
        </w:tc>
        <w:tc>
          <w:tcPr>
            <w:tcW w:w="1168" w:type="dxa"/>
            <w:tcBorders>
              <w:top w:val="nil"/>
              <w:left w:val="nil"/>
              <w:bottom w:val="nil"/>
              <w:right w:val="nil"/>
            </w:tcBorders>
          </w:tcPr>
          <w:p w:rsidR="00D702DE" w:rsidRDefault="00514EB8">
            <w:pPr>
              <w:pStyle w:val="TableParagraph"/>
              <w:ind w:right="401"/>
              <w:rPr>
                <w:sz w:val="18"/>
              </w:rPr>
            </w:pPr>
            <w:r>
              <w:rPr>
                <w:sz w:val="18"/>
              </w:rPr>
              <w:t>0</w:t>
            </w:r>
          </w:p>
        </w:tc>
        <w:tc>
          <w:tcPr>
            <w:tcW w:w="1337" w:type="dxa"/>
            <w:tcBorders>
              <w:top w:val="nil"/>
              <w:left w:val="nil"/>
              <w:bottom w:val="nil"/>
              <w:right w:val="nil"/>
            </w:tcBorders>
          </w:tcPr>
          <w:p w:rsidR="00D702DE" w:rsidRDefault="00514EB8">
            <w:pPr>
              <w:pStyle w:val="TableParagraph"/>
              <w:ind w:left="534" w:right="461"/>
              <w:jc w:val="center"/>
              <w:rPr>
                <w:sz w:val="18"/>
              </w:rPr>
            </w:pPr>
            <w:r>
              <w:rPr>
                <w:sz w:val="18"/>
              </w:rPr>
              <w:t>800</w:t>
            </w:r>
          </w:p>
        </w:tc>
        <w:tc>
          <w:tcPr>
            <w:tcW w:w="1245" w:type="dxa"/>
            <w:tcBorders>
              <w:top w:val="nil"/>
              <w:left w:val="nil"/>
              <w:bottom w:val="nil"/>
              <w:right w:val="nil"/>
            </w:tcBorders>
          </w:tcPr>
          <w:p w:rsidR="00D702DE" w:rsidRDefault="00514EB8">
            <w:pPr>
              <w:pStyle w:val="TableParagraph"/>
              <w:ind w:right="372"/>
              <w:rPr>
                <w:sz w:val="18"/>
              </w:rPr>
            </w:pPr>
            <w:r>
              <w:rPr>
                <w:sz w:val="18"/>
              </w:rPr>
              <w:t>1,204</w:t>
            </w:r>
          </w:p>
        </w:tc>
        <w:tc>
          <w:tcPr>
            <w:tcW w:w="1435" w:type="dxa"/>
            <w:tcBorders>
              <w:top w:val="nil"/>
              <w:left w:val="nil"/>
              <w:bottom w:val="nil"/>
              <w:right w:val="nil"/>
            </w:tcBorders>
          </w:tcPr>
          <w:p w:rsidR="00D702DE" w:rsidRDefault="00514EB8">
            <w:pPr>
              <w:pStyle w:val="TableParagraph"/>
              <w:ind w:right="459"/>
              <w:rPr>
                <w:sz w:val="18"/>
              </w:rPr>
            </w:pPr>
            <w:r>
              <w:rPr>
                <w:sz w:val="18"/>
              </w:rPr>
              <w:t>2,004</w:t>
            </w:r>
          </w:p>
        </w:tc>
      </w:tr>
      <w:tr w:rsidR="00D702DE">
        <w:trPr>
          <w:trHeight w:hRule="exact" w:val="300"/>
        </w:trPr>
        <w:tc>
          <w:tcPr>
            <w:tcW w:w="4031" w:type="dxa"/>
            <w:tcBorders>
              <w:top w:val="nil"/>
              <w:left w:val="nil"/>
              <w:bottom w:val="nil"/>
              <w:right w:val="nil"/>
            </w:tcBorders>
          </w:tcPr>
          <w:p w:rsidR="00D702DE" w:rsidRDefault="00514EB8">
            <w:pPr>
              <w:pStyle w:val="TableParagraph"/>
              <w:ind w:left="115"/>
              <w:jc w:val="left"/>
              <w:rPr>
                <w:sz w:val="18"/>
              </w:rPr>
            </w:pPr>
            <w:r>
              <w:rPr>
                <w:sz w:val="18"/>
              </w:rPr>
              <w:t>Pre-Clinical Development</w:t>
            </w:r>
          </w:p>
        </w:tc>
        <w:tc>
          <w:tcPr>
            <w:tcW w:w="1168" w:type="dxa"/>
            <w:tcBorders>
              <w:top w:val="nil"/>
              <w:left w:val="nil"/>
              <w:bottom w:val="nil"/>
              <w:right w:val="nil"/>
            </w:tcBorders>
          </w:tcPr>
          <w:p w:rsidR="00D702DE" w:rsidRDefault="00514EB8">
            <w:pPr>
              <w:pStyle w:val="TableParagraph"/>
              <w:ind w:right="400"/>
              <w:rPr>
                <w:sz w:val="18"/>
              </w:rPr>
            </w:pPr>
            <w:r>
              <w:rPr>
                <w:sz w:val="18"/>
              </w:rPr>
              <w:t>250</w:t>
            </w:r>
          </w:p>
        </w:tc>
        <w:tc>
          <w:tcPr>
            <w:tcW w:w="1337" w:type="dxa"/>
            <w:tcBorders>
              <w:top w:val="nil"/>
              <w:left w:val="nil"/>
              <w:bottom w:val="nil"/>
              <w:right w:val="nil"/>
            </w:tcBorders>
          </w:tcPr>
          <w:p w:rsidR="00D702DE" w:rsidRDefault="00514EB8">
            <w:pPr>
              <w:pStyle w:val="TableParagraph"/>
              <w:ind w:left="276"/>
              <w:jc w:val="center"/>
              <w:rPr>
                <w:sz w:val="18"/>
              </w:rPr>
            </w:pPr>
            <w:r>
              <w:rPr>
                <w:sz w:val="18"/>
              </w:rPr>
              <w:t>0</w:t>
            </w:r>
          </w:p>
        </w:tc>
        <w:tc>
          <w:tcPr>
            <w:tcW w:w="1245" w:type="dxa"/>
            <w:tcBorders>
              <w:top w:val="nil"/>
              <w:left w:val="nil"/>
              <w:bottom w:val="nil"/>
              <w:right w:val="nil"/>
            </w:tcBorders>
          </w:tcPr>
          <w:p w:rsidR="00D702DE" w:rsidRDefault="00514EB8">
            <w:pPr>
              <w:pStyle w:val="TableParagraph"/>
              <w:ind w:right="372"/>
              <w:rPr>
                <w:sz w:val="18"/>
              </w:rPr>
            </w:pPr>
            <w:r>
              <w:rPr>
                <w:sz w:val="18"/>
              </w:rPr>
              <w:t>0</w:t>
            </w:r>
          </w:p>
        </w:tc>
        <w:tc>
          <w:tcPr>
            <w:tcW w:w="1435" w:type="dxa"/>
            <w:tcBorders>
              <w:top w:val="nil"/>
              <w:left w:val="nil"/>
              <w:bottom w:val="nil"/>
              <w:right w:val="nil"/>
            </w:tcBorders>
          </w:tcPr>
          <w:p w:rsidR="00D702DE" w:rsidRDefault="00514EB8">
            <w:pPr>
              <w:pStyle w:val="TableParagraph"/>
              <w:ind w:right="458"/>
              <w:rPr>
                <w:sz w:val="18"/>
              </w:rPr>
            </w:pPr>
            <w:r>
              <w:rPr>
                <w:sz w:val="18"/>
              </w:rPr>
              <w:t>250</w:t>
            </w:r>
          </w:p>
        </w:tc>
      </w:tr>
      <w:tr w:rsidR="00D702DE">
        <w:trPr>
          <w:trHeight w:hRule="exact" w:val="300"/>
        </w:trPr>
        <w:tc>
          <w:tcPr>
            <w:tcW w:w="4031" w:type="dxa"/>
            <w:tcBorders>
              <w:top w:val="nil"/>
              <w:left w:val="nil"/>
              <w:bottom w:val="nil"/>
              <w:right w:val="nil"/>
            </w:tcBorders>
          </w:tcPr>
          <w:p w:rsidR="00D702DE" w:rsidRDefault="00514EB8">
            <w:pPr>
              <w:pStyle w:val="TableParagraph"/>
              <w:ind w:left="115"/>
              <w:jc w:val="left"/>
              <w:rPr>
                <w:sz w:val="18"/>
              </w:rPr>
            </w:pPr>
            <w:r>
              <w:rPr>
                <w:sz w:val="18"/>
              </w:rPr>
              <w:t>Clinical Trials (Phase I/II)</w:t>
            </w:r>
          </w:p>
        </w:tc>
        <w:tc>
          <w:tcPr>
            <w:tcW w:w="1168" w:type="dxa"/>
            <w:tcBorders>
              <w:top w:val="nil"/>
              <w:left w:val="nil"/>
              <w:bottom w:val="nil"/>
              <w:right w:val="nil"/>
            </w:tcBorders>
          </w:tcPr>
          <w:p w:rsidR="00D702DE" w:rsidRDefault="00514EB8">
            <w:pPr>
              <w:pStyle w:val="TableParagraph"/>
              <w:ind w:right="402"/>
              <w:rPr>
                <w:sz w:val="18"/>
              </w:rPr>
            </w:pPr>
            <w:r>
              <w:rPr>
                <w:sz w:val="18"/>
              </w:rPr>
              <w:t>0</w:t>
            </w:r>
          </w:p>
        </w:tc>
        <w:tc>
          <w:tcPr>
            <w:tcW w:w="1337" w:type="dxa"/>
            <w:tcBorders>
              <w:top w:val="nil"/>
              <w:left w:val="nil"/>
              <w:bottom w:val="nil"/>
              <w:right w:val="nil"/>
            </w:tcBorders>
          </w:tcPr>
          <w:p w:rsidR="00D702DE" w:rsidRDefault="00514EB8">
            <w:pPr>
              <w:pStyle w:val="TableParagraph"/>
              <w:ind w:left="402"/>
              <w:jc w:val="left"/>
              <w:rPr>
                <w:sz w:val="18"/>
              </w:rPr>
            </w:pPr>
            <w:r>
              <w:rPr>
                <w:sz w:val="18"/>
              </w:rPr>
              <w:t>1,040</w:t>
            </w:r>
          </w:p>
        </w:tc>
        <w:tc>
          <w:tcPr>
            <w:tcW w:w="1245" w:type="dxa"/>
            <w:tcBorders>
              <w:top w:val="nil"/>
              <w:left w:val="nil"/>
              <w:bottom w:val="nil"/>
              <w:right w:val="nil"/>
            </w:tcBorders>
          </w:tcPr>
          <w:p w:rsidR="00D702DE" w:rsidRDefault="00514EB8">
            <w:pPr>
              <w:pStyle w:val="TableParagraph"/>
              <w:ind w:right="374"/>
              <w:rPr>
                <w:sz w:val="18"/>
              </w:rPr>
            </w:pPr>
            <w:r>
              <w:rPr>
                <w:sz w:val="18"/>
              </w:rPr>
              <w:t>1,000</w:t>
            </w:r>
          </w:p>
        </w:tc>
        <w:tc>
          <w:tcPr>
            <w:tcW w:w="1435" w:type="dxa"/>
            <w:tcBorders>
              <w:top w:val="nil"/>
              <w:left w:val="nil"/>
              <w:bottom w:val="nil"/>
              <w:right w:val="nil"/>
            </w:tcBorders>
          </w:tcPr>
          <w:p w:rsidR="00D702DE" w:rsidRDefault="00514EB8">
            <w:pPr>
              <w:pStyle w:val="TableParagraph"/>
              <w:ind w:right="459"/>
              <w:rPr>
                <w:sz w:val="18"/>
              </w:rPr>
            </w:pPr>
            <w:r>
              <w:rPr>
                <w:sz w:val="18"/>
              </w:rPr>
              <w:t>2,040</w:t>
            </w:r>
          </w:p>
        </w:tc>
      </w:tr>
      <w:tr w:rsidR="00D702DE">
        <w:trPr>
          <w:trHeight w:hRule="exact" w:val="295"/>
        </w:trPr>
        <w:tc>
          <w:tcPr>
            <w:tcW w:w="4031" w:type="dxa"/>
            <w:tcBorders>
              <w:top w:val="nil"/>
              <w:left w:val="nil"/>
              <w:right w:val="nil"/>
            </w:tcBorders>
          </w:tcPr>
          <w:p w:rsidR="00D702DE" w:rsidRDefault="00514EB8">
            <w:pPr>
              <w:pStyle w:val="TableParagraph"/>
              <w:ind w:left="386"/>
              <w:jc w:val="left"/>
              <w:rPr>
                <w:sz w:val="18"/>
              </w:rPr>
            </w:pPr>
            <w:r>
              <w:rPr>
                <w:sz w:val="18"/>
              </w:rPr>
              <w:t>Total</w:t>
            </w:r>
          </w:p>
        </w:tc>
        <w:tc>
          <w:tcPr>
            <w:tcW w:w="1168" w:type="dxa"/>
            <w:tcBorders>
              <w:top w:val="nil"/>
              <w:left w:val="nil"/>
              <w:right w:val="nil"/>
            </w:tcBorders>
          </w:tcPr>
          <w:p w:rsidR="00D702DE" w:rsidRDefault="00514EB8">
            <w:pPr>
              <w:pStyle w:val="TableParagraph"/>
              <w:ind w:right="401"/>
              <w:rPr>
                <w:sz w:val="18"/>
              </w:rPr>
            </w:pPr>
            <w:r>
              <w:rPr>
                <w:sz w:val="18"/>
              </w:rPr>
              <w:t>3,350</w:t>
            </w:r>
          </w:p>
        </w:tc>
        <w:tc>
          <w:tcPr>
            <w:tcW w:w="1337" w:type="dxa"/>
            <w:tcBorders>
              <w:top w:val="nil"/>
              <w:left w:val="nil"/>
              <w:right w:val="nil"/>
            </w:tcBorders>
          </w:tcPr>
          <w:p w:rsidR="00D702DE" w:rsidRDefault="00514EB8">
            <w:pPr>
              <w:pStyle w:val="TableParagraph"/>
              <w:ind w:left="402"/>
              <w:jc w:val="left"/>
              <w:rPr>
                <w:sz w:val="18"/>
              </w:rPr>
            </w:pPr>
            <w:r>
              <w:rPr>
                <w:sz w:val="18"/>
              </w:rPr>
              <w:t>1,840</w:t>
            </w:r>
          </w:p>
        </w:tc>
        <w:tc>
          <w:tcPr>
            <w:tcW w:w="1245" w:type="dxa"/>
            <w:tcBorders>
              <w:top w:val="nil"/>
              <w:left w:val="nil"/>
              <w:right w:val="nil"/>
            </w:tcBorders>
          </w:tcPr>
          <w:p w:rsidR="00D702DE" w:rsidRDefault="00514EB8">
            <w:pPr>
              <w:pStyle w:val="TableParagraph"/>
              <w:ind w:right="372"/>
              <w:rPr>
                <w:sz w:val="18"/>
              </w:rPr>
            </w:pPr>
            <w:r>
              <w:rPr>
                <w:sz w:val="18"/>
              </w:rPr>
              <w:t>2,204</w:t>
            </w:r>
          </w:p>
        </w:tc>
        <w:tc>
          <w:tcPr>
            <w:tcW w:w="1435" w:type="dxa"/>
            <w:tcBorders>
              <w:top w:val="nil"/>
              <w:left w:val="nil"/>
              <w:right w:val="nil"/>
            </w:tcBorders>
          </w:tcPr>
          <w:p w:rsidR="00D702DE" w:rsidRDefault="00514EB8">
            <w:pPr>
              <w:pStyle w:val="TableParagraph"/>
              <w:ind w:right="459"/>
              <w:rPr>
                <w:sz w:val="18"/>
              </w:rPr>
            </w:pPr>
            <w:r>
              <w:rPr>
                <w:sz w:val="18"/>
              </w:rPr>
              <w:t>7,394</w:t>
            </w:r>
          </w:p>
        </w:tc>
      </w:tr>
    </w:tbl>
    <w:p w:rsidR="00D702DE" w:rsidRDefault="00D702DE">
      <w:pPr>
        <w:pStyle w:val="BodyText"/>
      </w:pPr>
    </w:p>
    <w:p w:rsidR="00D702DE" w:rsidRDefault="00D702DE">
      <w:pPr>
        <w:pStyle w:val="BodyText"/>
      </w:pPr>
    </w:p>
    <w:p w:rsidR="00D702DE" w:rsidRDefault="00D702DE">
      <w:pPr>
        <w:pStyle w:val="BodyText"/>
      </w:pPr>
    </w:p>
    <w:p w:rsidR="00D702DE" w:rsidRDefault="00D702DE">
      <w:pPr>
        <w:pStyle w:val="BodyText"/>
      </w:pPr>
    </w:p>
    <w:p w:rsidR="00D702DE" w:rsidRDefault="00D702DE">
      <w:pPr>
        <w:pStyle w:val="BodyText"/>
      </w:pPr>
    </w:p>
    <w:p w:rsidR="00D702DE" w:rsidRDefault="00D702DE">
      <w:pPr>
        <w:pStyle w:val="BodyText"/>
        <w:spacing w:before="2"/>
        <w:rPr>
          <w:sz w:val="15"/>
        </w:rPr>
      </w:pPr>
    </w:p>
    <w:p w:rsidR="00D702DE" w:rsidRDefault="00514EB8">
      <w:pPr>
        <w:pStyle w:val="BodyText"/>
        <w:tabs>
          <w:tab w:val="left" w:pos="2078"/>
        </w:tabs>
        <w:spacing w:line="242" w:lineRule="exact"/>
        <w:ind w:left="1020" w:right="1443"/>
      </w:pPr>
      <w:r>
        <w:rPr>
          <w:b/>
        </w:rPr>
        <w:t>Exhibit</w:t>
      </w:r>
      <w:r>
        <w:rPr>
          <w:b/>
          <w:spacing w:val="-3"/>
        </w:rPr>
        <w:t xml:space="preserve"> </w:t>
      </w:r>
      <w:r>
        <w:rPr>
          <w:b/>
        </w:rPr>
        <w:t>4</w:t>
      </w:r>
      <w:r>
        <w:rPr>
          <w:b/>
        </w:rPr>
        <w:tab/>
      </w:r>
      <w:r>
        <w:t>Time and Cost to Obtain Phase II Clinical Trial Data for CRP-1 (Burn</w:t>
      </w:r>
      <w:r>
        <w:rPr>
          <w:spacing w:val="-28"/>
        </w:rPr>
        <w:t xml:space="preserve"> </w:t>
      </w:r>
      <w:r>
        <w:t>Treatment)</w:t>
      </w:r>
      <w:r>
        <w:rPr>
          <w:spacing w:val="-3"/>
        </w:rPr>
        <w:t xml:space="preserve"> </w:t>
      </w:r>
      <w:r>
        <w:t>Using</w:t>
      </w:r>
      <w:r>
        <w:rPr>
          <w:w w:val="99"/>
        </w:rPr>
        <w:t xml:space="preserve"> </w:t>
      </w:r>
      <w:r>
        <w:t>Contract Production for Clinical-grade</w:t>
      </w:r>
      <w:r>
        <w:rPr>
          <w:spacing w:val="-17"/>
        </w:rPr>
        <w:t xml:space="preserve"> </w:t>
      </w:r>
      <w:r>
        <w:t>CRP-1.</w:t>
      </w:r>
    </w:p>
    <w:p w:rsidR="00D702DE" w:rsidRDefault="00514EB8">
      <w:pPr>
        <w:pStyle w:val="BodyText"/>
        <w:spacing w:before="11"/>
        <w:rPr>
          <w:sz w:val="16"/>
        </w:rPr>
      </w:pPr>
      <w:r>
        <w:pict>
          <v:group id="_x0000_s1028" style="position:absolute;margin-left:84pt;margin-top:12.5pt;width:461.3pt;height:.5pt;z-index:1552;mso-wrap-distance-left:0;mso-wrap-distance-right:0;mso-position-horizontal-relative:page" coordorigin="1680,250" coordsize="9226,10">
            <v:line id="_x0000_s1037" style="position:absolute" from="1685,255" to="5304,255" strokeweight=".48pt"/>
            <v:line id="_x0000_s1036" style="position:absolute" from="5304,255" to="5314,255" strokeweight=".48pt"/>
            <v:line id="_x0000_s1035" style="position:absolute" from="5314,255" to="6701,255" strokeweight=".48pt"/>
            <v:line id="_x0000_s1034" style="position:absolute" from="6701,255" to="6710,255" strokeweight=".48pt"/>
            <v:line id="_x0000_s1033" style="position:absolute" from="6710,255" to="8100,255" strokeweight=".48pt"/>
            <v:line id="_x0000_s1032" style="position:absolute" from="8100,255" to="8110,255" strokeweight=".48pt"/>
            <v:line id="_x0000_s1031" style="position:absolute" from="8110,255" to="9499,255" strokeweight=".48pt"/>
            <v:line id="_x0000_s1030" style="position:absolute" from="9499,255" to="9509,255" strokeweight=".48pt"/>
            <v:line id="_x0000_s1029" style="position:absolute" from="9509,255" to="10901,255" strokeweight=".48pt"/>
            <w10:wrap type="topAndBottom" anchorx="page"/>
          </v:group>
        </w:pict>
      </w:r>
    </w:p>
    <w:p w:rsidR="00D702DE" w:rsidRDefault="00514EB8">
      <w:pPr>
        <w:tabs>
          <w:tab w:val="left" w:pos="6449"/>
          <w:tab w:val="left" w:pos="7847"/>
          <w:tab w:val="left" w:pos="8978"/>
        </w:tabs>
        <w:spacing w:before="19" w:after="34"/>
        <w:ind w:left="5054"/>
        <w:rPr>
          <w:rFonts w:ascii="Arial"/>
          <w:b/>
          <w:sz w:val="18"/>
        </w:rPr>
      </w:pPr>
      <w:r>
        <w:rPr>
          <w:rFonts w:ascii="Arial"/>
          <w:b/>
          <w:sz w:val="18"/>
        </w:rPr>
        <w:t>1991</w:t>
      </w:r>
      <w:r>
        <w:rPr>
          <w:rFonts w:ascii="Arial"/>
          <w:b/>
          <w:sz w:val="18"/>
        </w:rPr>
        <w:tab/>
        <w:t>1992</w:t>
      </w:r>
      <w:r>
        <w:rPr>
          <w:rFonts w:ascii="Arial"/>
          <w:b/>
          <w:sz w:val="18"/>
        </w:rPr>
        <w:tab/>
        <w:t>1993</w:t>
      </w:r>
      <w:r>
        <w:rPr>
          <w:rFonts w:ascii="Arial"/>
          <w:b/>
          <w:sz w:val="18"/>
        </w:rPr>
        <w:tab/>
        <w:t>Total</w:t>
      </w:r>
      <w:r>
        <w:rPr>
          <w:rFonts w:ascii="Arial"/>
          <w:b/>
          <w:spacing w:val="-1"/>
          <w:sz w:val="18"/>
        </w:rPr>
        <w:t xml:space="preserve"> </w:t>
      </w:r>
      <w:r>
        <w:rPr>
          <w:rFonts w:ascii="Arial"/>
          <w:b/>
          <w:sz w:val="18"/>
        </w:rPr>
        <w:t>Thru</w:t>
      </w:r>
    </w:p>
    <w:tbl>
      <w:tblPr>
        <w:tblW w:w="0" w:type="auto"/>
        <w:tblInd w:w="904" w:type="dxa"/>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Pr>
      <w:tblGrid>
        <w:gridCol w:w="3853"/>
        <w:gridCol w:w="1166"/>
        <w:gridCol w:w="1395"/>
        <w:gridCol w:w="1392"/>
        <w:gridCol w:w="1410"/>
      </w:tblGrid>
      <w:tr w:rsidR="00D702DE">
        <w:trPr>
          <w:trHeight w:hRule="exact" w:val="234"/>
        </w:trPr>
        <w:tc>
          <w:tcPr>
            <w:tcW w:w="7806" w:type="dxa"/>
            <w:gridSpan w:val="4"/>
            <w:tcBorders>
              <w:bottom w:val="single" w:sz="4" w:space="0" w:color="000000"/>
            </w:tcBorders>
          </w:tcPr>
          <w:p w:rsidR="00D702DE" w:rsidRDefault="00D702DE"/>
        </w:tc>
        <w:tc>
          <w:tcPr>
            <w:tcW w:w="1410" w:type="dxa"/>
            <w:tcBorders>
              <w:bottom w:val="single" w:sz="4" w:space="0" w:color="000000"/>
            </w:tcBorders>
          </w:tcPr>
          <w:p w:rsidR="00D702DE" w:rsidRDefault="00514EB8">
            <w:pPr>
              <w:pStyle w:val="TableParagraph"/>
              <w:spacing w:before="0" w:line="184" w:lineRule="exact"/>
              <w:ind w:right="465"/>
              <w:rPr>
                <w:b/>
                <w:sz w:val="18"/>
              </w:rPr>
            </w:pPr>
            <w:r>
              <w:rPr>
                <w:b/>
                <w:sz w:val="18"/>
              </w:rPr>
              <w:t>12/93</w:t>
            </w:r>
          </w:p>
        </w:tc>
      </w:tr>
      <w:tr w:rsidR="00D702DE">
        <w:trPr>
          <w:trHeight w:hRule="exact" w:val="316"/>
        </w:trPr>
        <w:tc>
          <w:tcPr>
            <w:tcW w:w="3853" w:type="dxa"/>
            <w:tcBorders>
              <w:top w:val="single" w:sz="4" w:space="0" w:color="000000"/>
            </w:tcBorders>
          </w:tcPr>
          <w:p w:rsidR="00D702DE" w:rsidRDefault="00514EB8">
            <w:pPr>
              <w:pStyle w:val="TableParagraph"/>
              <w:spacing w:before="47"/>
              <w:ind w:left="115"/>
              <w:jc w:val="left"/>
              <w:rPr>
                <w:sz w:val="18"/>
              </w:rPr>
            </w:pPr>
            <w:r>
              <w:rPr>
                <w:sz w:val="18"/>
              </w:rPr>
              <w:t>Contract Production and Related Expense</w:t>
            </w:r>
          </w:p>
        </w:tc>
        <w:tc>
          <w:tcPr>
            <w:tcW w:w="1166" w:type="dxa"/>
            <w:tcBorders>
              <w:top w:val="single" w:sz="4" w:space="0" w:color="000000"/>
            </w:tcBorders>
          </w:tcPr>
          <w:p w:rsidR="00D702DE" w:rsidRDefault="00514EB8">
            <w:pPr>
              <w:pStyle w:val="TableParagraph"/>
              <w:spacing w:before="47"/>
              <w:ind w:right="489"/>
              <w:rPr>
                <w:sz w:val="18"/>
              </w:rPr>
            </w:pPr>
            <w:r>
              <w:rPr>
                <w:sz w:val="18"/>
              </w:rPr>
              <w:t>0</w:t>
            </w:r>
          </w:p>
        </w:tc>
        <w:tc>
          <w:tcPr>
            <w:tcW w:w="1395" w:type="dxa"/>
            <w:tcBorders>
              <w:top w:val="single" w:sz="4" w:space="0" w:color="000000"/>
            </w:tcBorders>
          </w:tcPr>
          <w:p w:rsidR="00D702DE" w:rsidRDefault="00514EB8">
            <w:pPr>
              <w:pStyle w:val="TableParagraph"/>
              <w:spacing w:before="47"/>
              <w:ind w:right="445"/>
              <w:rPr>
                <w:sz w:val="18"/>
              </w:rPr>
            </w:pPr>
            <w:r>
              <w:rPr>
                <w:sz w:val="18"/>
              </w:rPr>
              <w:t>955</w:t>
            </w:r>
          </w:p>
        </w:tc>
        <w:tc>
          <w:tcPr>
            <w:tcW w:w="1392" w:type="dxa"/>
            <w:tcBorders>
              <w:top w:val="single" w:sz="4" w:space="0" w:color="000000"/>
            </w:tcBorders>
          </w:tcPr>
          <w:p w:rsidR="00D702DE" w:rsidRDefault="00514EB8">
            <w:pPr>
              <w:pStyle w:val="TableParagraph"/>
              <w:spacing w:before="47"/>
              <w:ind w:right="486"/>
              <w:rPr>
                <w:sz w:val="18"/>
              </w:rPr>
            </w:pPr>
            <w:r>
              <w:rPr>
                <w:sz w:val="18"/>
              </w:rPr>
              <w:t>1,550</w:t>
            </w:r>
          </w:p>
        </w:tc>
        <w:tc>
          <w:tcPr>
            <w:tcW w:w="1410" w:type="dxa"/>
            <w:tcBorders>
              <w:top w:val="single" w:sz="4" w:space="0" w:color="000000"/>
            </w:tcBorders>
          </w:tcPr>
          <w:p w:rsidR="00D702DE" w:rsidRDefault="00514EB8">
            <w:pPr>
              <w:pStyle w:val="TableParagraph"/>
              <w:spacing w:before="47"/>
              <w:ind w:right="455"/>
              <w:rPr>
                <w:sz w:val="18"/>
              </w:rPr>
            </w:pPr>
            <w:r>
              <w:rPr>
                <w:sz w:val="18"/>
              </w:rPr>
              <w:t>2,505</w:t>
            </w:r>
          </w:p>
        </w:tc>
      </w:tr>
      <w:tr w:rsidR="00D702DE">
        <w:trPr>
          <w:trHeight w:hRule="exact" w:val="301"/>
        </w:trPr>
        <w:tc>
          <w:tcPr>
            <w:tcW w:w="3853" w:type="dxa"/>
          </w:tcPr>
          <w:p w:rsidR="00D702DE" w:rsidRDefault="00514EB8">
            <w:pPr>
              <w:pStyle w:val="TableParagraph"/>
              <w:spacing w:before="38"/>
              <w:ind w:left="115"/>
              <w:jc w:val="left"/>
              <w:rPr>
                <w:sz w:val="18"/>
              </w:rPr>
            </w:pPr>
            <w:r>
              <w:rPr>
                <w:sz w:val="18"/>
              </w:rPr>
              <w:t>Pre-Clinical Development</w:t>
            </w:r>
          </w:p>
        </w:tc>
        <w:tc>
          <w:tcPr>
            <w:tcW w:w="1166" w:type="dxa"/>
          </w:tcPr>
          <w:p w:rsidR="00D702DE" w:rsidRDefault="00514EB8">
            <w:pPr>
              <w:pStyle w:val="TableParagraph"/>
              <w:spacing w:before="38"/>
              <w:ind w:right="489"/>
              <w:rPr>
                <w:sz w:val="18"/>
              </w:rPr>
            </w:pPr>
            <w:r>
              <w:rPr>
                <w:sz w:val="18"/>
              </w:rPr>
              <w:t>250</w:t>
            </w:r>
          </w:p>
        </w:tc>
        <w:tc>
          <w:tcPr>
            <w:tcW w:w="1395" w:type="dxa"/>
          </w:tcPr>
          <w:p w:rsidR="00D702DE" w:rsidRDefault="00514EB8">
            <w:pPr>
              <w:pStyle w:val="TableParagraph"/>
              <w:spacing w:before="38"/>
              <w:ind w:right="447"/>
              <w:rPr>
                <w:sz w:val="18"/>
              </w:rPr>
            </w:pPr>
            <w:r>
              <w:rPr>
                <w:sz w:val="18"/>
              </w:rPr>
              <w:t>0</w:t>
            </w:r>
          </w:p>
        </w:tc>
        <w:tc>
          <w:tcPr>
            <w:tcW w:w="1392" w:type="dxa"/>
          </w:tcPr>
          <w:p w:rsidR="00D702DE" w:rsidRDefault="00514EB8">
            <w:pPr>
              <w:pStyle w:val="TableParagraph"/>
              <w:spacing w:before="38"/>
              <w:ind w:right="488"/>
              <w:rPr>
                <w:sz w:val="18"/>
              </w:rPr>
            </w:pPr>
            <w:r>
              <w:rPr>
                <w:sz w:val="18"/>
              </w:rPr>
              <w:t>0</w:t>
            </w:r>
          </w:p>
        </w:tc>
        <w:tc>
          <w:tcPr>
            <w:tcW w:w="1410" w:type="dxa"/>
          </w:tcPr>
          <w:p w:rsidR="00D702DE" w:rsidRDefault="00514EB8">
            <w:pPr>
              <w:pStyle w:val="TableParagraph"/>
              <w:spacing w:before="38"/>
              <w:ind w:right="458"/>
              <w:rPr>
                <w:sz w:val="18"/>
              </w:rPr>
            </w:pPr>
            <w:r>
              <w:rPr>
                <w:sz w:val="18"/>
              </w:rPr>
              <w:t>250</w:t>
            </w:r>
          </w:p>
        </w:tc>
      </w:tr>
      <w:tr w:rsidR="00D702DE">
        <w:trPr>
          <w:trHeight w:hRule="exact" w:val="300"/>
        </w:trPr>
        <w:tc>
          <w:tcPr>
            <w:tcW w:w="3853" w:type="dxa"/>
          </w:tcPr>
          <w:p w:rsidR="00D702DE" w:rsidRDefault="00514EB8">
            <w:pPr>
              <w:pStyle w:val="TableParagraph"/>
              <w:ind w:left="115"/>
              <w:jc w:val="left"/>
              <w:rPr>
                <w:sz w:val="18"/>
              </w:rPr>
            </w:pPr>
            <w:r>
              <w:rPr>
                <w:sz w:val="18"/>
              </w:rPr>
              <w:t>Clinical Trials (Phase I/II)</w:t>
            </w:r>
          </w:p>
        </w:tc>
        <w:tc>
          <w:tcPr>
            <w:tcW w:w="1166" w:type="dxa"/>
          </w:tcPr>
          <w:p w:rsidR="00D702DE" w:rsidRDefault="00514EB8">
            <w:pPr>
              <w:pStyle w:val="TableParagraph"/>
              <w:ind w:right="491"/>
              <w:rPr>
                <w:sz w:val="18"/>
              </w:rPr>
            </w:pPr>
            <w:r>
              <w:rPr>
                <w:sz w:val="18"/>
              </w:rPr>
              <w:t>0</w:t>
            </w:r>
          </w:p>
        </w:tc>
        <w:tc>
          <w:tcPr>
            <w:tcW w:w="1395" w:type="dxa"/>
          </w:tcPr>
          <w:p w:rsidR="00D702DE" w:rsidRDefault="00514EB8">
            <w:pPr>
              <w:pStyle w:val="TableParagraph"/>
              <w:ind w:right="448"/>
              <w:rPr>
                <w:sz w:val="18"/>
              </w:rPr>
            </w:pPr>
            <w:r>
              <w:rPr>
                <w:sz w:val="18"/>
              </w:rPr>
              <w:t>1,040</w:t>
            </w:r>
          </w:p>
        </w:tc>
        <w:tc>
          <w:tcPr>
            <w:tcW w:w="1392" w:type="dxa"/>
          </w:tcPr>
          <w:p w:rsidR="00D702DE" w:rsidRDefault="00514EB8">
            <w:pPr>
              <w:pStyle w:val="TableParagraph"/>
              <w:ind w:right="489"/>
              <w:rPr>
                <w:sz w:val="18"/>
              </w:rPr>
            </w:pPr>
            <w:r>
              <w:rPr>
                <w:sz w:val="18"/>
              </w:rPr>
              <w:t>1,000</w:t>
            </w:r>
          </w:p>
        </w:tc>
        <w:tc>
          <w:tcPr>
            <w:tcW w:w="1410" w:type="dxa"/>
          </w:tcPr>
          <w:p w:rsidR="00D702DE" w:rsidRDefault="00514EB8">
            <w:pPr>
              <w:pStyle w:val="TableParagraph"/>
              <w:ind w:right="459"/>
              <w:rPr>
                <w:sz w:val="18"/>
              </w:rPr>
            </w:pPr>
            <w:r>
              <w:rPr>
                <w:sz w:val="18"/>
              </w:rPr>
              <w:t>2,040</w:t>
            </w:r>
          </w:p>
        </w:tc>
      </w:tr>
      <w:tr w:rsidR="00D702DE">
        <w:trPr>
          <w:trHeight w:hRule="exact" w:val="295"/>
        </w:trPr>
        <w:tc>
          <w:tcPr>
            <w:tcW w:w="3853" w:type="dxa"/>
            <w:tcBorders>
              <w:bottom w:val="single" w:sz="4" w:space="0" w:color="000000"/>
            </w:tcBorders>
          </w:tcPr>
          <w:p w:rsidR="00D702DE" w:rsidRDefault="00514EB8">
            <w:pPr>
              <w:pStyle w:val="TableParagraph"/>
              <w:ind w:left="386"/>
              <w:jc w:val="left"/>
              <w:rPr>
                <w:sz w:val="18"/>
              </w:rPr>
            </w:pPr>
            <w:r>
              <w:rPr>
                <w:sz w:val="18"/>
              </w:rPr>
              <w:t>Total</w:t>
            </w:r>
          </w:p>
        </w:tc>
        <w:tc>
          <w:tcPr>
            <w:tcW w:w="1166" w:type="dxa"/>
            <w:tcBorders>
              <w:bottom w:val="single" w:sz="4" w:space="0" w:color="000000"/>
            </w:tcBorders>
          </w:tcPr>
          <w:p w:rsidR="00D702DE" w:rsidRDefault="00514EB8">
            <w:pPr>
              <w:pStyle w:val="TableParagraph"/>
              <w:ind w:right="491"/>
              <w:rPr>
                <w:sz w:val="18"/>
              </w:rPr>
            </w:pPr>
            <w:r>
              <w:rPr>
                <w:sz w:val="18"/>
              </w:rPr>
              <w:t>250</w:t>
            </w:r>
          </w:p>
        </w:tc>
        <w:tc>
          <w:tcPr>
            <w:tcW w:w="1395" w:type="dxa"/>
            <w:tcBorders>
              <w:bottom w:val="single" w:sz="4" w:space="0" w:color="000000"/>
            </w:tcBorders>
          </w:tcPr>
          <w:p w:rsidR="00D702DE" w:rsidRDefault="00514EB8">
            <w:pPr>
              <w:pStyle w:val="TableParagraph"/>
              <w:ind w:right="448"/>
              <w:rPr>
                <w:sz w:val="18"/>
              </w:rPr>
            </w:pPr>
            <w:r>
              <w:rPr>
                <w:sz w:val="18"/>
              </w:rPr>
              <w:t>1,995</w:t>
            </w:r>
          </w:p>
        </w:tc>
        <w:tc>
          <w:tcPr>
            <w:tcW w:w="1392" w:type="dxa"/>
            <w:tcBorders>
              <w:bottom w:val="single" w:sz="4" w:space="0" w:color="000000"/>
            </w:tcBorders>
          </w:tcPr>
          <w:p w:rsidR="00D702DE" w:rsidRDefault="00514EB8">
            <w:pPr>
              <w:pStyle w:val="TableParagraph"/>
              <w:ind w:right="489"/>
              <w:rPr>
                <w:sz w:val="18"/>
              </w:rPr>
            </w:pPr>
            <w:r>
              <w:rPr>
                <w:sz w:val="18"/>
              </w:rPr>
              <w:t>2,550</w:t>
            </w:r>
          </w:p>
        </w:tc>
        <w:tc>
          <w:tcPr>
            <w:tcW w:w="1410" w:type="dxa"/>
            <w:tcBorders>
              <w:bottom w:val="single" w:sz="4" w:space="0" w:color="000000"/>
            </w:tcBorders>
          </w:tcPr>
          <w:p w:rsidR="00D702DE" w:rsidRDefault="00514EB8">
            <w:pPr>
              <w:pStyle w:val="TableParagraph"/>
              <w:ind w:right="459"/>
              <w:rPr>
                <w:sz w:val="18"/>
              </w:rPr>
            </w:pPr>
            <w:r>
              <w:rPr>
                <w:sz w:val="18"/>
              </w:rPr>
              <w:t>4,795</w:t>
            </w:r>
          </w:p>
        </w:tc>
      </w:tr>
    </w:tbl>
    <w:p w:rsidR="00D702DE" w:rsidRDefault="00D702DE">
      <w:pPr>
        <w:pStyle w:val="BodyText"/>
        <w:rPr>
          <w:rFonts w:ascii="Arial"/>
          <w:b/>
        </w:rPr>
      </w:pPr>
    </w:p>
    <w:p w:rsidR="00D702DE" w:rsidRDefault="00D702DE">
      <w:pPr>
        <w:pStyle w:val="BodyText"/>
        <w:rPr>
          <w:rFonts w:ascii="Arial"/>
          <w:b/>
        </w:rPr>
      </w:pPr>
    </w:p>
    <w:p w:rsidR="00D702DE" w:rsidRDefault="00D702DE">
      <w:pPr>
        <w:pStyle w:val="BodyText"/>
        <w:rPr>
          <w:rFonts w:ascii="Arial"/>
          <w:b/>
        </w:rPr>
      </w:pPr>
    </w:p>
    <w:p w:rsidR="00D702DE" w:rsidRDefault="00D702DE">
      <w:pPr>
        <w:pStyle w:val="BodyText"/>
        <w:rPr>
          <w:rFonts w:ascii="Arial"/>
          <w:b/>
        </w:rPr>
      </w:pPr>
    </w:p>
    <w:p w:rsidR="00D702DE" w:rsidRDefault="00D702DE">
      <w:pPr>
        <w:pStyle w:val="BodyText"/>
        <w:rPr>
          <w:rFonts w:ascii="Arial"/>
          <w:b/>
        </w:rPr>
      </w:pPr>
    </w:p>
    <w:p w:rsidR="00D702DE" w:rsidRDefault="00D702DE">
      <w:pPr>
        <w:pStyle w:val="BodyText"/>
        <w:spacing w:before="8"/>
        <w:rPr>
          <w:rFonts w:ascii="Arial"/>
          <w:b/>
          <w:sz w:val="18"/>
        </w:rPr>
      </w:pPr>
    </w:p>
    <w:p w:rsidR="00D702DE" w:rsidRDefault="00514EB8">
      <w:pPr>
        <w:pStyle w:val="BodyText"/>
        <w:tabs>
          <w:tab w:val="left" w:pos="2078"/>
        </w:tabs>
        <w:spacing w:before="63" w:line="240" w:lineRule="exact"/>
        <w:ind w:left="2071" w:right="6094" w:hanging="1052"/>
      </w:pPr>
      <w:r>
        <w:rPr>
          <w:b/>
        </w:rPr>
        <w:t>Exhibit</w:t>
      </w:r>
      <w:r>
        <w:rPr>
          <w:b/>
          <w:spacing w:val="-3"/>
        </w:rPr>
        <w:t xml:space="preserve"> </w:t>
      </w:r>
      <w:r>
        <w:rPr>
          <w:b/>
        </w:rPr>
        <w:t>5</w:t>
      </w:r>
      <w:r>
        <w:rPr>
          <w:b/>
        </w:rPr>
        <w:tab/>
      </w:r>
      <w:r>
        <w:rPr>
          <w:b/>
        </w:rPr>
        <w:tab/>
      </w:r>
      <w:r>
        <w:t>Estimated Gross Sales</w:t>
      </w:r>
      <w:r>
        <w:rPr>
          <w:spacing w:val="-13"/>
        </w:rPr>
        <w:t xml:space="preserve"> </w:t>
      </w:r>
      <w:r>
        <w:t>of</w:t>
      </w:r>
      <w:r>
        <w:rPr>
          <w:spacing w:val="-4"/>
        </w:rPr>
        <w:t xml:space="preserve"> </w:t>
      </w:r>
      <w:r>
        <w:t>CRP-1</w:t>
      </w:r>
      <w:r>
        <w:rPr>
          <w:w w:val="99"/>
        </w:rPr>
        <w:t xml:space="preserve"> </w:t>
      </w:r>
      <w:r>
        <w:t>(as topical burn wound</w:t>
      </w:r>
      <w:r>
        <w:rPr>
          <w:spacing w:val="-15"/>
        </w:rPr>
        <w:t xml:space="preserve"> </w:t>
      </w:r>
      <w:r>
        <w:t>treatment)</w:t>
      </w:r>
    </w:p>
    <w:p w:rsidR="00D702DE" w:rsidRDefault="00D702DE">
      <w:pPr>
        <w:pStyle w:val="BodyText"/>
        <w:spacing w:before="6"/>
      </w:pPr>
    </w:p>
    <w:tbl>
      <w:tblPr>
        <w:tblW w:w="0" w:type="auto"/>
        <w:tblInd w:w="9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20"/>
        <w:gridCol w:w="2839"/>
      </w:tblGrid>
      <w:tr w:rsidR="00D702DE">
        <w:trPr>
          <w:trHeight w:hRule="exact" w:val="312"/>
        </w:trPr>
        <w:tc>
          <w:tcPr>
            <w:tcW w:w="1320" w:type="dxa"/>
            <w:tcBorders>
              <w:left w:val="nil"/>
              <w:right w:val="nil"/>
            </w:tcBorders>
          </w:tcPr>
          <w:p w:rsidR="00D702DE" w:rsidRDefault="00514EB8">
            <w:pPr>
              <w:pStyle w:val="TableParagraph"/>
              <w:spacing w:before="48"/>
              <w:ind w:left="115"/>
              <w:jc w:val="left"/>
              <w:rPr>
                <w:b/>
                <w:sz w:val="18"/>
              </w:rPr>
            </w:pPr>
            <w:r>
              <w:rPr>
                <w:b/>
                <w:sz w:val="18"/>
              </w:rPr>
              <w:t>Year</w:t>
            </w:r>
          </w:p>
        </w:tc>
        <w:tc>
          <w:tcPr>
            <w:tcW w:w="2839" w:type="dxa"/>
            <w:tcBorders>
              <w:left w:val="nil"/>
              <w:right w:val="nil"/>
            </w:tcBorders>
          </w:tcPr>
          <w:p w:rsidR="00D702DE" w:rsidRDefault="00514EB8">
            <w:pPr>
              <w:pStyle w:val="TableParagraph"/>
              <w:spacing w:before="48"/>
              <w:ind w:left="782" w:right="366"/>
              <w:jc w:val="center"/>
              <w:rPr>
                <w:b/>
                <w:sz w:val="18"/>
              </w:rPr>
            </w:pPr>
            <w:r>
              <w:rPr>
                <w:b/>
                <w:sz w:val="18"/>
              </w:rPr>
              <w:t>Sales ($thousands)</w:t>
            </w:r>
          </w:p>
        </w:tc>
      </w:tr>
      <w:tr w:rsidR="00D702DE">
        <w:trPr>
          <w:trHeight w:hRule="exact" w:val="315"/>
        </w:trPr>
        <w:tc>
          <w:tcPr>
            <w:tcW w:w="1320" w:type="dxa"/>
            <w:tcBorders>
              <w:left w:val="nil"/>
              <w:bottom w:val="nil"/>
              <w:right w:val="nil"/>
            </w:tcBorders>
          </w:tcPr>
          <w:p w:rsidR="00D702DE" w:rsidRDefault="00514EB8">
            <w:pPr>
              <w:pStyle w:val="TableParagraph"/>
              <w:spacing w:before="47"/>
              <w:ind w:left="115"/>
              <w:jc w:val="left"/>
              <w:rPr>
                <w:sz w:val="18"/>
              </w:rPr>
            </w:pPr>
            <w:r>
              <w:rPr>
                <w:sz w:val="18"/>
              </w:rPr>
              <w:t>1998</w:t>
            </w:r>
          </w:p>
        </w:tc>
        <w:tc>
          <w:tcPr>
            <w:tcW w:w="2839" w:type="dxa"/>
            <w:tcBorders>
              <w:left w:val="nil"/>
              <w:bottom w:val="nil"/>
              <w:right w:val="nil"/>
            </w:tcBorders>
          </w:tcPr>
          <w:p w:rsidR="00D702DE" w:rsidRDefault="00514EB8">
            <w:pPr>
              <w:pStyle w:val="TableParagraph"/>
              <w:spacing w:before="47"/>
              <w:ind w:left="685" w:right="366"/>
              <w:jc w:val="center"/>
              <w:rPr>
                <w:sz w:val="18"/>
              </w:rPr>
            </w:pPr>
            <w:r>
              <w:rPr>
                <w:sz w:val="18"/>
              </w:rPr>
              <w:t>53,700</w:t>
            </w:r>
          </w:p>
        </w:tc>
      </w:tr>
      <w:tr w:rsidR="00D702DE">
        <w:trPr>
          <w:trHeight w:hRule="exact" w:val="300"/>
        </w:trPr>
        <w:tc>
          <w:tcPr>
            <w:tcW w:w="1320" w:type="dxa"/>
            <w:tcBorders>
              <w:top w:val="nil"/>
              <w:left w:val="nil"/>
              <w:bottom w:val="nil"/>
              <w:right w:val="nil"/>
            </w:tcBorders>
          </w:tcPr>
          <w:p w:rsidR="00D702DE" w:rsidRDefault="00514EB8">
            <w:pPr>
              <w:pStyle w:val="TableParagraph"/>
              <w:ind w:left="115"/>
              <w:jc w:val="left"/>
              <w:rPr>
                <w:sz w:val="18"/>
              </w:rPr>
            </w:pPr>
            <w:r>
              <w:rPr>
                <w:sz w:val="18"/>
              </w:rPr>
              <w:t>1999</w:t>
            </w:r>
          </w:p>
        </w:tc>
        <w:tc>
          <w:tcPr>
            <w:tcW w:w="2839" w:type="dxa"/>
            <w:tcBorders>
              <w:top w:val="nil"/>
              <w:left w:val="nil"/>
              <w:bottom w:val="nil"/>
              <w:right w:val="nil"/>
            </w:tcBorders>
          </w:tcPr>
          <w:p w:rsidR="00D702DE" w:rsidRDefault="00514EB8">
            <w:pPr>
              <w:pStyle w:val="TableParagraph"/>
              <w:ind w:left="685" w:right="366"/>
              <w:jc w:val="center"/>
              <w:rPr>
                <w:sz w:val="18"/>
              </w:rPr>
            </w:pPr>
            <w:r>
              <w:rPr>
                <w:sz w:val="18"/>
              </w:rPr>
              <w:t>99,500</w:t>
            </w:r>
          </w:p>
        </w:tc>
      </w:tr>
      <w:tr w:rsidR="00D702DE">
        <w:trPr>
          <w:trHeight w:hRule="exact" w:val="300"/>
        </w:trPr>
        <w:tc>
          <w:tcPr>
            <w:tcW w:w="1320" w:type="dxa"/>
            <w:tcBorders>
              <w:top w:val="nil"/>
              <w:left w:val="nil"/>
              <w:bottom w:val="nil"/>
              <w:right w:val="nil"/>
            </w:tcBorders>
          </w:tcPr>
          <w:p w:rsidR="00D702DE" w:rsidRDefault="00514EB8">
            <w:pPr>
              <w:pStyle w:val="TableParagraph"/>
              <w:ind w:left="115"/>
              <w:jc w:val="left"/>
              <w:rPr>
                <w:sz w:val="18"/>
              </w:rPr>
            </w:pPr>
            <w:r>
              <w:rPr>
                <w:sz w:val="18"/>
              </w:rPr>
              <w:t>2000</w:t>
            </w:r>
          </w:p>
        </w:tc>
        <w:tc>
          <w:tcPr>
            <w:tcW w:w="2839" w:type="dxa"/>
            <w:tcBorders>
              <w:top w:val="nil"/>
              <w:left w:val="nil"/>
              <w:bottom w:val="nil"/>
              <w:right w:val="nil"/>
            </w:tcBorders>
          </w:tcPr>
          <w:p w:rsidR="00D702DE" w:rsidRDefault="00514EB8">
            <w:pPr>
              <w:pStyle w:val="TableParagraph"/>
              <w:ind w:left="584" w:right="366"/>
              <w:jc w:val="center"/>
              <w:rPr>
                <w:sz w:val="18"/>
              </w:rPr>
            </w:pPr>
            <w:r>
              <w:rPr>
                <w:sz w:val="18"/>
              </w:rPr>
              <w:t>125,000</w:t>
            </w:r>
          </w:p>
        </w:tc>
      </w:tr>
      <w:tr w:rsidR="00D702DE">
        <w:trPr>
          <w:trHeight w:hRule="exact" w:val="300"/>
        </w:trPr>
        <w:tc>
          <w:tcPr>
            <w:tcW w:w="1320" w:type="dxa"/>
            <w:tcBorders>
              <w:top w:val="nil"/>
              <w:left w:val="nil"/>
              <w:bottom w:val="nil"/>
              <w:right w:val="nil"/>
            </w:tcBorders>
          </w:tcPr>
          <w:p w:rsidR="00D702DE" w:rsidRDefault="00514EB8">
            <w:pPr>
              <w:pStyle w:val="TableParagraph"/>
              <w:ind w:left="115"/>
              <w:jc w:val="left"/>
              <w:rPr>
                <w:sz w:val="18"/>
              </w:rPr>
            </w:pPr>
            <w:r>
              <w:rPr>
                <w:sz w:val="18"/>
              </w:rPr>
              <w:t>2001</w:t>
            </w:r>
          </w:p>
        </w:tc>
        <w:tc>
          <w:tcPr>
            <w:tcW w:w="2839" w:type="dxa"/>
            <w:tcBorders>
              <w:top w:val="nil"/>
              <w:left w:val="nil"/>
              <w:bottom w:val="nil"/>
              <w:right w:val="nil"/>
            </w:tcBorders>
          </w:tcPr>
          <w:p w:rsidR="00D702DE" w:rsidRDefault="00514EB8">
            <w:pPr>
              <w:pStyle w:val="TableParagraph"/>
              <w:ind w:left="584" w:right="366"/>
              <w:jc w:val="center"/>
              <w:rPr>
                <w:sz w:val="18"/>
              </w:rPr>
            </w:pPr>
            <w:r>
              <w:rPr>
                <w:sz w:val="18"/>
              </w:rPr>
              <w:t>130,000</w:t>
            </w:r>
          </w:p>
        </w:tc>
      </w:tr>
      <w:tr w:rsidR="00D702DE">
        <w:trPr>
          <w:trHeight w:hRule="exact" w:val="295"/>
        </w:trPr>
        <w:tc>
          <w:tcPr>
            <w:tcW w:w="1320" w:type="dxa"/>
            <w:tcBorders>
              <w:top w:val="nil"/>
              <w:left w:val="nil"/>
              <w:right w:val="nil"/>
            </w:tcBorders>
          </w:tcPr>
          <w:p w:rsidR="00D702DE" w:rsidRDefault="00514EB8">
            <w:pPr>
              <w:pStyle w:val="TableParagraph"/>
              <w:ind w:left="115"/>
              <w:jc w:val="left"/>
              <w:rPr>
                <w:sz w:val="18"/>
              </w:rPr>
            </w:pPr>
            <w:r>
              <w:rPr>
                <w:sz w:val="18"/>
              </w:rPr>
              <w:t>2002</w:t>
            </w:r>
          </w:p>
        </w:tc>
        <w:tc>
          <w:tcPr>
            <w:tcW w:w="2839" w:type="dxa"/>
            <w:tcBorders>
              <w:top w:val="nil"/>
              <w:left w:val="nil"/>
              <w:right w:val="nil"/>
            </w:tcBorders>
          </w:tcPr>
          <w:p w:rsidR="00D702DE" w:rsidRDefault="00514EB8">
            <w:pPr>
              <w:pStyle w:val="TableParagraph"/>
              <w:ind w:left="584" w:right="366"/>
              <w:jc w:val="center"/>
              <w:rPr>
                <w:sz w:val="18"/>
              </w:rPr>
            </w:pPr>
            <w:r>
              <w:rPr>
                <w:sz w:val="18"/>
              </w:rPr>
              <w:t>150,000</w:t>
            </w:r>
          </w:p>
        </w:tc>
      </w:tr>
    </w:tbl>
    <w:p w:rsidR="00D702DE" w:rsidRDefault="00514EB8">
      <w:pPr>
        <w:spacing w:before="62" w:line="285" w:lineRule="auto"/>
        <w:ind w:left="1020" w:right="6094"/>
        <w:rPr>
          <w:rFonts w:ascii="Arial"/>
          <w:sz w:val="16"/>
        </w:rPr>
      </w:pPr>
      <w:r>
        <w:rPr>
          <w:rFonts w:ascii="Arial"/>
          <w:sz w:val="16"/>
        </w:rPr>
        <w:t xml:space="preserve">* After </w:t>
      </w:r>
      <w:r>
        <w:rPr>
          <w:rFonts w:ascii="Arial"/>
          <w:spacing w:val="-2"/>
          <w:sz w:val="16"/>
        </w:rPr>
        <w:t xml:space="preserve">the </w:t>
      </w:r>
      <w:r>
        <w:rPr>
          <w:rFonts w:ascii="Arial"/>
          <w:spacing w:val="-3"/>
          <w:sz w:val="16"/>
        </w:rPr>
        <w:t xml:space="preserve">year </w:t>
      </w:r>
      <w:r>
        <w:rPr>
          <w:rFonts w:ascii="Arial"/>
          <w:spacing w:val="-4"/>
          <w:sz w:val="16"/>
        </w:rPr>
        <w:t xml:space="preserve">2000, </w:t>
      </w:r>
      <w:r>
        <w:rPr>
          <w:rFonts w:ascii="Arial"/>
          <w:spacing w:val="-3"/>
          <w:sz w:val="16"/>
        </w:rPr>
        <w:t xml:space="preserve">sales of CRP-1 </w:t>
      </w:r>
      <w:r>
        <w:rPr>
          <w:rFonts w:ascii="Arial"/>
          <w:sz w:val="16"/>
        </w:rPr>
        <w:t xml:space="preserve">as a </w:t>
      </w:r>
      <w:r>
        <w:rPr>
          <w:rFonts w:ascii="Arial"/>
          <w:spacing w:val="-3"/>
          <w:sz w:val="16"/>
        </w:rPr>
        <w:t xml:space="preserve">burn </w:t>
      </w:r>
      <w:r>
        <w:rPr>
          <w:rFonts w:ascii="Arial"/>
          <w:spacing w:val="-4"/>
          <w:sz w:val="16"/>
        </w:rPr>
        <w:t xml:space="preserve">wound </w:t>
      </w:r>
      <w:r>
        <w:rPr>
          <w:rFonts w:ascii="Arial"/>
          <w:spacing w:val="-3"/>
          <w:sz w:val="16"/>
        </w:rPr>
        <w:t xml:space="preserve">treatment were expected </w:t>
      </w:r>
      <w:r>
        <w:rPr>
          <w:rFonts w:ascii="Arial"/>
          <w:sz w:val="16"/>
        </w:rPr>
        <w:t xml:space="preserve">to </w:t>
      </w:r>
      <w:r>
        <w:rPr>
          <w:rFonts w:ascii="Arial"/>
          <w:spacing w:val="-3"/>
          <w:sz w:val="16"/>
        </w:rPr>
        <w:t xml:space="preserve">grow </w:t>
      </w:r>
      <w:r>
        <w:rPr>
          <w:rFonts w:ascii="Arial"/>
          <w:sz w:val="16"/>
        </w:rPr>
        <w:t xml:space="preserve">at </w:t>
      </w:r>
      <w:r>
        <w:rPr>
          <w:rFonts w:ascii="Arial"/>
          <w:spacing w:val="-3"/>
          <w:sz w:val="16"/>
        </w:rPr>
        <w:t xml:space="preserve">approximately </w:t>
      </w:r>
      <w:r>
        <w:rPr>
          <w:rFonts w:ascii="Arial"/>
          <w:sz w:val="16"/>
        </w:rPr>
        <w:t xml:space="preserve">5% </w:t>
      </w:r>
      <w:r>
        <w:rPr>
          <w:rFonts w:ascii="Arial"/>
          <w:spacing w:val="-4"/>
          <w:sz w:val="16"/>
        </w:rPr>
        <w:t xml:space="preserve">per </w:t>
      </w:r>
      <w:r>
        <w:rPr>
          <w:rFonts w:ascii="Arial"/>
          <w:spacing w:val="-3"/>
          <w:sz w:val="16"/>
        </w:rPr>
        <w:t xml:space="preserve">year, assuming </w:t>
      </w:r>
      <w:r>
        <w:rPr>
          <w:rFonts w:ascii="Arial"/>
          <w:sz w:val="16"/>
        </w:rPr>
        <w:t xml:space="preserve">no </w:t>
      </w:r>
      <w:r>
        <w:rPr>
          <w:rFonts w:ascii="Arial"/>
          <w:spacing w:val="-3"/>
          <w:sz w:val="16"/>
        </w:rPr>
        <w:t xml:space="preserve">introduction </w:t>
      </w:r>
      <w:r>
        <w:rPr>
          <w:rFonts w:ascii="Arial"/>
          <w:sz w:val="16"/>
        </w:rPr>
        <w:t xml:space="preserve">of a </w:t>
      </w:r>
      <w:r>
        <w:rPr>
          <w:rFonts w:ascii="Arial"/>
          <w:spacing w:val="-3"/>
          <w:sz w:val="16"/>
        </w:rPr>
        <w:t>substitute product.</w:t>
      </w:r>
    </w:p>
    <w:p w:rsidR="00D702DE" w:rsidRDefault="00D702DE">
      <w:pPr>
        <w:pStyle w:val="BodyText"/>
        <w:rPr>
          <w:rFonts w:ascii="Arial"/>
        </w:rPr>
      </w:pPr>
    </w:p>
    <w:p w:rsidR="00D702DE" w:rsidRDefault="00D702DE">
      <w:pPr>
        <w:pStyle w:val="BodyText"/>
        <w:rPr>
          <w:rFonts w:ascii="Arial"/>
        </w:rPr>
      </w:pPr>
    </w:p>
    <w:p w:rsidR="00D702DE" w:rsidRDefault="00D702DE">
      <w:pPr>
        <w:pStyle w:val="BodyText"/>
        <w:rPr>
          <w:rFonts w:ascii="Arial"/>
        </w:rPr>
      </w:pPr>
    </w:p>
    <w:p w:rsidR="00D702DE" w:rsidRDefault="00D702DE">
      <w:pPr>
        <w:pStyle w:val="BodyText"/>
        <w:rPr>
          <w:rFonts w:ascii="Arial"/>
        </w:rPr>
      </w:pPr>
    </w:p>
    <w:p w:rsidR="00D702DE" w:rsidRDefault="00D702DE">
      <w:pPr>
        <w:pStyle w:val="BodyText"/>
        <w:rPr>
          <w:rFonts w:ascii="Arial"/>
        </w:rPr>
      </w:pPr>
    </w:p>
    <w:p w:rsidR="00D702DE" w:rsidRDefault="00D702DE">
      <w:pPr>
        <w:pStyle w:val="BodyText"/>
        <w:rPr>
          <w:rFonts w:ascii="Arial"/>
        </w:rPr>
      </w:pPr>
    </w:p>
    <w:p w:rsidR="00D702DE" w:rsidRDefault="00514EB8">
      <w:pPr>
        <w:pStyle w:val="BodyText"/>
        <w:rPr>
          <w:rFonts w:ascii="Arial"/>
          <w:sz w:val="24"/>
        </w:rPr>
      </w:pPr>
      <w:r>
        <w:pict>
          <v:line id="_x0000_s1027" style="position:absolute;z-index:1576;mso-wrap-distance-left:0;mso-wrap-distance-right:0;mso-position-horizontal-relative:page" from="88.55pt,16.45pt" to="541.45pt,16.45pt" strokeweight="1.44pt">
            <w10:wrap type="topAndBottom" anchorx="page"/>
          </v:line>
        </w:pict>
      </w:r>
    </w:p>
    <w:p w:rsidR="00D702DE" w:rsidRDefault="00514EB8">
      <w:pPr>
        <w:spacing w:line="205" w:lineRule="exact"/>
        <w:ind w:right="1177"/>
        <w:jc w:val="right"/>
        <w:rPr>
          <w:rFonts w:ascii="Arial"/>
          <w:b/>
          <w:sz w:val="18"/>
        </w:rPr>
      </w:pPr>
      <w:r>
        <w:rPr>
          <w:rFonts w:ascii="Arial"/>
          <w:b/>
          <w:sz w:val="18"/>
        </w:rPr>
        <w:t>15</w:t>
      </w:r>
    </w:p>
    <w:p w:rsidR="00D702DE" w:rsidRDefault="00D702DE">
      <w:pPr>
        <w:spacing w:line="205" w:lineRule="exact"/>
        <w:jc w:val="right"/>
        <w:rPr>
          <w:rFonts w:ascii="Arial"/>
          <w:sz w:val="18"/>
        </w:rPr>
        <w:sectPr w:rsidR="00D702DE">
          <w:pgSz w:w="12240" w:h="15840"/>
          <w:pgMar w:top="540" w:right="260" w:bottom="680" w:left="780" w:header="233" w:footer="487" w:gutter="0"/>
          <w:cols w:space="720"/>
        </w:sectPr>
      </w:pPr>
    </w:p>
    <w:p w:rsidR="00D702DE" w:rsidRDefault="00D702DE">
      <w:pPr>
        <w:pStyle w:val="BodyText"/>
        <w:spacing w:before="10"/>
        <w:rPr>
          <w:rFonts w:ascii="Arial"/>
          <w:b/>
          <w:sz w:val="14"/>
        </w:rPr>
      </w:pPr>
    </w:p>
    <w:p w:rsidR="00D702DE" w:rsidRPr="00E135FD" w:rsidRDefault="00D702DE" w:rsidP="00E135FD">
      <w:pPr>
        <w:tabs>
          <w:tab w:val="left" w:pos="8661"/>
          <w:tab w:val="left" w:pos="8662"/>
        </w:tabs>
        <w:spacing w:before="1"/>
        <w:ind w:left="659"/>
        <w:rPr>
          <w:rFonts w:ascii="Arial"/>
          <w:b/>
          <w:sz w:val="16"/>
        </w:rPr>
      </w:pPr>
      <w:bookmarkStart w:id="0" w:name="_GoBack"/>
      <w:bookmarkEnd w:id="0"/>
    </w:p>
    <w:p w:rsidR="00D702DE" w:rsidRDefault="00D702DE">
      <w:pPr>
        <w:pStyle w:val="BodyText"/>
        <w:rPr>
          <w:rFonts w:ascii="Arial"/>
          <w:b/>
        </w:rPr>
      </w:pPr>
    </w:p>
    <w:p w:rsidR="00D702DE" w:rsidRDefault="00D702DE">
      <w:pPr>
        <w:pStyle w:val="BodyText"/>
        <w:rPr>
          <w:rFonts w:ascii="Arial"/>
          <w:b/>
        </w:rPr>
      </w:pPr>
    </w:p>
    <w:p w:rsidR="00D702DE" w:rsidRDefault="00D702DE">
      <w:pPr>
        <w:pStyle w:val="BodyText"/>
        <w:spacing w:before="9"/>
        <w:rPr>
          <w:rFonts w:ascii="Arial"/>
          <w:b/>
          <w:sz w:val="16"/>
        </w:rPr>
      </w:pPr>
    </w:p>
    <w:p w:rsidR="00D702DE" w:rsidRDefault="00514EB8">
      <w:pPr>
        <w:tabs>
          <w:tab w:val="left" w:pos="1718"/>
        </w:tabs>
        <w:spacing w:before="62"/>
        <w:ind w:left="660"/>
        <w:rPr>
          <w:sz w:val="20"/>
        </w:rPr>
      </w:pPr>
      <w:r>
        <w:rPr>
          <w:b/>
          <w:sz w:val="20"/>
        </w:rPr>
        <w:t>Exhibit</w:t>
      </w:r>
      <w:r>
        <w:rPr>
          <w:b/>
          <w:spacing w:val="-3"/>
          <w:sz w:val="20"/>
        </w:rPr>
        <w:t xml:space="preserve"> </w:t>
      </w:r>
      <w:r>
        <w:rPr>
          <w:b/>
          <w:sz w:val="20"/>
        </w:rPr>
        <w:t>6</w:t>
      </w:r>
      <w:r>
        <w:rPr>
          <w:b/>
          <w:sz w:val="20"/>
        </w:rPr>
        <w:tab/>
      </w:r>
      <w:r>
        <w:rPr>
          <w:sz w:val="20"/>
        </w:rPr>
        <w:t>Good Manufacturing Practices</w:t>
      </w:r>
      <w:r>
        <w:rPr>
          <w:spacing w:val="-18"/>
          <w:sz w:val="20"/>
        </w:rPr>
        <w:t xml:space="preserve"> </w:t>
      </w:r>
      <w:r>
        <w:rPr>
          <w:sz w:val="20"/>
        </w:rPr>
        <w:t>(GMPs)</w:t>
      </w:r>
    </w:p>
    <w:p w:rsidR="00D702DE" w:rsidRDefault="00D702DE">
      <w:pPr>
        <w:pStyle w:val="BodyText"/>
        <w:spacing w:before="9"/>
        <w:rPr>
          <w:sz w:val="18"/>
        </w:rPr>
      </w:pPr>
    </w:p>
    <w:p w:rsidR="00D702DE" w:rsidRDefault="00514EB8">
      <w:pPr>
        <w:pStyle w:val="BodyText"/>
        <w:ind w:left="660"/>
      </w:pPr>
      <w:r>
        <w:t>The following are some of the major concepts behind “Good Manufacturing Practices” (GMPs):</w:t>
      </w:r>
    </w:p>
    <w:p w:rsidR="00D702DE" w:rsidRDefault="00D702DE">
      <w:pPr>
        <w:pStyle w:val="BodyText"/>
        <w:spacing w:before="8"/>
        <w:rPr>
          <w:sz w:val="18"/>
        </w:rPr>
      </w:pPr>
    </w:p>
    <w:p w:rsidR="00D702DE" w:rsidRDefault="00514EB8">
      <w:pPr>
        <w:pStyle w:val="ListParagraph"/>
        <w:numPr>
          <w:ilvl w:val="2"/>
          <w:numId w:val="1"/>
        </w:numPr>
        <w:tabs>
          <w:tab w:val="left" w:pos="1740"/>
        </w:tabs>
        <w:ind w:right="2261"/>
        <w:jc w:val="both"/>
        <w:rPr>
          <w:sz w:val="20"/>
        </w:rPr>
      </w:pPr>
      <w:r>
        <w:rPr>
          <w:sz w:val="20"/>
        </w:rPr>
        <w:t>A facility must have an uncluttered fermentation area, precautions for fermentation spills, and surfaces that are easily</w:t>
      </w:r>
      <w:r>
        <w:rPr>
          <w:spacing w:val="-11"/>
          <w:sz w:val="20"/>
        </w:rPr>
        <w:t xml:space="preserve"> </w:t>
      </w:r>
      <w:r>
        <w:rPr>
          <w:sz w:val="20"/>
        </w:rPr>
        <w:t>cleane</w:t>
      </w:r>
      <w:r>
        <w:rPr>
          <w:sz w:val="20"/>
        </w:rPr>
        <w:t>d.</w:t>
      </w:r>
    </w:p>
    <w:p w:rsidR="00D702DE" w:rsidRDefault="00D702DE">
      <w:pPr>
        <w:pStyle w:val="BodyText"/>
        <w:spacing w:before="11"/>
        <w:rPr>
          <w:sz w:val="19"/>
        </w:rPr>
      </w:pPr>
    </w:p>
    <w:p w:rsidR="00D702DE" w:rsidRDefault="00514EB8">
      <w:pPr>
        <w:pStyle w:val="ListParagraph"/>
        <w:numPr>
          <w:ilvl w:val="2"/>
          <w:numId w:val="1"/>
        </w:numPr>
        <w:tabs>
          <w:tab w:val="left" w:pos="1740"/>
        </w:tabs>
        <w:spacing w:line="232" w:lineRule="auto"/>
        <w:ind w:right="2256"/>
        <w:jc w:val="both"/>
        <w:rPr>
          <w:sz w:val="20"/>
        </w:rPr>
      </w:pPr>
      <w:r>
        <w:rPr>
          <w:sz w:val="20"/>
        </w:rPr>
        <w:t xml:space="preserve">Adequate air systems to prevent cross-contamination of the product from other research products or micro-organisms in the facility. Closed system fermenters. Steps must be performed in a controlled environment. (A controlled  environment is defined as </w:t>
      </w:r>
      <w:r>
        <w:rPr>
          <w:sz w:val="20"/>
        </w:rPr>
        <w:t>being adequate to control air pressure, humidity, temperature, microorganisms and particulate matter.) An environmental monitoring system is necessary for all manufacturing</w:t>
      </w:r>
      <w:r>
        <w:rPr>
          <w:spacing w:val="-34"/>
          <w:sz w:val="20"/>
        </w:rPr>
        <w:t xml:space="preserve"> </w:t>
      </w:r>
      <w:r>
        <w:rPr>
          <w:sz w:val="20"/>
        </w:rPr>
        <w:t>areas.</w:t>
      </w:r>
    </w:p>
    <w:p w:rsidR="00D702DE" w:rsidRDefault="00D702DE">
      <w:pPr>
        <w:pStyle w:val="BodyText"/>
        <w:spacing w:before="12"/>
        <w:rPr>
          <w:sz w:val="18"/>
        </w:rPr>
      </w:pPr>
    </w:p>
    <w:p w:rsidR="00D702DE" w:rsidRDefault="00514EB8">
      <w:pPr>
        <w:pStyle w:val="ListParagraph"/>
        <w:numPr>
          <w:ilvl w:val="2"/>
          <w:numId w:val="1"/>
        </w:numPr>
        <w:tabs>
          <w:tab w:val="left" w:pos="1740"/>
        </w:tabs>
        <w:spacing w:line="240" w:lineRule="exact"/>
        <w:ind w:right="2262"/>
        <w:jc w:val="both"/>
        <w:rPr>
          <w:sz w:val="20"/>
        </w:rPr>
      </w:pPr>
      <w:r>
        <w:rPr>
          <w:sz w:val="20"/>
        </w:rPr>
        <w:t>The water used in the downstream manufacturing steps should be of high qual</w:t>
      </w:r>
      <w:r>
        <w:rPr>
          <w:sz w:val="20"/>
        </w:rPr>
        <w:t>ity and, again, there should be a monitoring system in</w:t>
      </w:r>
      <w:r>
        <w:rPr>
          <w:spacing w:val="-22"/>
          <w:sz w:val="20"/>
        </w:rPr>
        <w:t xml:space="preserve"> </w:t>
      </w:r>
      <w:r>
        <w:rPr>
          <w:sz w:val="20"/>
        </w:rPr>
        <w:t>place.</w:t>
      </w:r>
    </w:p>
    <w:p w:rsidR="00D702DE" w:rsidRDefault="00D702DE">
      <w:pPr>
        <w:pStyle w:val="BodyText"/>
        <w:spacing w:before="4"/>
        <w:rPr>
          <w:sz w:val="19"/>
        </w:rPr>
      </w:pPr>
    </w:p>
    <w:p w:rsidR="00D702DE" w:rsidRDefault="00514EB8">
      <w:pPr>
        <w:pStyle w:val="ListParagraph"/>
        <w:numPr>
          <w:ilvl w:val="2"/>
          <w:numId w:val="1"/>
        </w:numPr>
        <w:tabs>
          <w:tab w:val="left" w:pos="1740"/>
        </w:tabs>
        <w:ind w:right="2258"/>
        <w:jc w:val="both"/>
        <w:rPr>
          <w:sz w:val="20"/>
        </w:rPr>
      </w:pPr>
      <w:r>
        <w:rPr>
          <w:sz w:val="20"/>
        </w:rPr>
        <w:t>A trained Quality Assurance department is required to oversee and assure GMP manufacturing and</w:t>
      </w:r>
      <w:r>
        <w:rPr>
          <w:spacing w:val="-15"/>
          <w:sz w:val="20"/>
        </w:rPr>
        <w:t xml:space="preserve"> </w:t>
      </w:r>
      <w:r>
        <w:rPr>
          <w:sz w:val="20"/>
        </w:rPr>
        <w:t>control.</w:t>
      </w:r>
    </w:p>
    <w:p w:rsidR="00D702DE" w:rsidRDefault="00D702DE">
      <w:pPr>
        <w:pStyle w:val="BodyText"/>
        <w:spacing w:before="5"/>
        <w:rPr>
          <w:sz w:val="19"/>
        </w:rPr>
      </w:pPr>
    </w:p>
    <w:p w:rsidR="00D702DE" w:rsidRDefault="00514EB8">
      <w:pPr>
        <w:pStyle w:val="ListParagraph"/>
        <w:numPr>
          <w:ilvl w:val="2"/>
          <w:numId w:val="1"/>
        </w:numPr>
        <w:tabs>
          <w:tab w:val="left" w:pos="1739"/>
          <w:tab w:val="left" w:pos="1740"/>
        </w:tabs>
        <w:spacing w:before="1" w:line="240" w:lineRule="auto"/>
        <w:rPr>
          <w:sz w:val="20"/>
        </w:rPr>
      </w:pPr>
      <w:r>
        <w:rPr>
          <w:sz w:val="20"/>
        </w:rPr>
        <w:t>A documentation system is required for the process or support</w:t>
      </w:r>
      <w:r>
        <w:rPr>
          <w:spacing w:val="-22"/>
          <w:sz w:val="20"/>
        </w:rPr>
        <w:t xml:space="preserve"> </w:t>
      </w:r>
      <w:r>
        <w:rPr>
          <w:sz w:val="20"/>
        </w:rPr>
        <w:t>systems.</w:t>
      </w:r>
    </w:p>
    <w:p w:rsidR="00D702DE" w:rsidRDefault="00D702DE">
      <w:pPr>
        <w:pStyle w:val="BodyText"/>
        <w:spacing w:before="10"/>
        <w:rPr>
          <w:sz w:val="18"/>
        </w:rPr>
      </w:pPr>
    </w:p>
    <w:p w:rsidR="00D702DE" w:rsidRDefault="00514EB8">
      <w:pPr>
        <w:pStyle w:val="ListParagraph"/>
        <w:numPr>
          <w:ilvl w:val="2"/>
          <w:numId w:val="1"/>
        </w:numPr>
        <w:tabs>
          <w:tab w:val="left" w:pos="1739"/>
          <w:tab w:val="left" w:pos="1740"/>
        </w:tabs>
        <w:spacing w:line="240" w:lineRule="auto"/>
        <w:rPr>
          <w:sz w:val="20"/>
        </w:rPr>
      </w:pPr>
      <w:r>
        <w:rPr>
          <w:sz w:val="20"/>
        </w:rPr>
        <w:t>Uni-directional production flow is</w:t>
      </w:r>
      <w:r>
        <w:rPr>
          <w:spacing w:val="-18"/>
          <w:sz w:val="20"/>
        </w:rPr>
        <w:t xml:space="preserve"> </w:t>
      </w:r>
      <w:r>
        <w:rPr>
          <w:sz w:val="20"/>
        </w:rPr>
        <w:t>required.</w:t>
      </w:r>
    </w:p>
    <w:p w:rsidR="00D702DE" w:rsidRDefault="00D702DE">
      <w:pPr>
        <w:pStyle w:val="BodyText"/>
        <w:spacing w:before="10"/>
        <w:rPr>
          <w:sz w:val="18"/>
        </w:rPr>
      </w:pPr>
    </w:p>
    <w:p w:rsidR="00D702DE" w:rsidRDefault="00514EB8">
      <w:pPr>
        <w:pStyle w:val="ListParagraph"/>
        <w:numPr>
          <w:ilvl w:val="2"/>
          <w:numId w:val="1"/>
        </w:numPr>
        <w:tabs>
          <w:tab w:val="left" w:pos="1739"/>
          <w:tab w:val="left" w:pos="1740"/>
        </w:tabs>
        <w:spacing w:line="240" w:lineRule="auto"/>
        <w:rPr>
          <w:sz w:val="20"/>
        </w:rPr>
      </w:pPr>
      <w:r>
        <w:rPr>
          <w:sz w:val="20"/>
        </w:rPr>
        <w:t>Validated processes to demonstrate removal of major contaminants is</w:t>
      </w:r>
      <w:r>
        <w:rPr>
          <w:spacing w:val="-30"/>
          <w:sz w:val="20"/>
        </w:rPr>
        <w:t xml:space="preserve"> </w:t>
      </w:r>
      <w:r>
        <w:rPr>
          <w:sz w:val="20"/>
        </w:rPr>
        <w:t>required.</w:t>
      </w:r>
    </w:p>
    <w:p w:rsidR="00D702DE" w:rsidRDefault="00D702DE">
      <w:pPr>
        <w:pStyle w:val="BodyText"/>
        <w:spacing w:before="6"/>
        <w:rPr>
          <w:sz w:val="18"/>
        </w:rPr>
      </w:pPr>
    </w:p>
    <w:p w:rsidR="00D702DE" w:rsidRDefault="00514EB8">
      <w:pPr>
        <w:pStyle w:val="ListParagraph"/>
        <w:numPr>
          <w:ilvl w:val="2"/>
          <w:numId w:val="1"/>
        </w:numPr>
        <w:tabs>
          <w:tab w:val="left" w:pos="1740"/>
        </w:tabs>
        <w:ind w:right="2261"/>
        <w:jc w:val="both"/>
        <w:rPr>
          <w:sz w:val="20"/>
        </w:rPr>
      </w:pPr>
      <w:r>
        <w:rPr>
          <w:sz w:val="20"/>
        </w:rPr>
        <w:t>Validated cleaning procedures to demonstrate those in place are adequate for multi-use of equipment is</w:t>
      </w:r>
      <w:r>
        <w:rPr>
          <w:spacing w:val="-11"/>
          <w:sz w:val="20"/>
        </w:rPr>
        <w:t xml:space="preserve"> </w:t>
      </w:r>
      <w:r>
        <w:rPr>
          <w:sz w:val="20"/>
        </w:rPr>
        <w:t>required.</w:t>
      </w:r>
    </w:p>
    <w:p w:rsidR="00D702DE" w:rsidRDefault="00D702DE">
      <w:pPr>
        <w:pStyle w:val="BodyText"/>
        <w:spacing w:before="4"/>
        <w:rPr>
          <w:sz w:val="19"/>
        </w:rPr>
      </w:pPr>
    </w:p>
    <w:p w:rsidR="00D702DE" w:rsidRDefault="00514EB8">
      <w:pPr>
        <w:pStyle w:val="ListParagraph"/>
        <w:numPr>
          <w:ilvl w:val="2"/>
          <w:numId w:val="1"/>
        </w:numPr>
        <w:tabs>
          <w:tab w:val="left" w:pos="1740"/>
        </w:tabs>
        <w:ind w:right="2258"/>
        <w:jc w:val="both"/>
        <w:rPr>
          <w:sz w:val="20"/>
        </w:rPr>
      </w:pPr>
      <w:r>
        <w:rPr>
          <w:sz w:val="20"/>
        </w:rPr>
        <w:t>A uni-directional flow of raw material, product and personnel is required with product moving from less clean and controlled areas (fermentation) to very clean areas (formulation and filling). There should be positive air  pressure  differentials between c</w:t>
      </w:r>
      <w:r>
        <w:rPr>
          <w:sz w:val="20"/>
        </w:rPr>
        <w:t>lean and less clean</w:t>
      </w:r>
      <w:r>
        <w:rPr>
          <w:spacing w:val="-21"/>
          <w:sz w:val="20"/>
        </w:rPr>
        <w:t xml:space="preserve"> </w:t>
      </w:r>
      <w:r>
        <w:rPr>
          <w:sz w:val="20"/>
        </w:rPr>
        <w:t>areas.</w:t>
      </w:r>
    </w:p>
    <w:p w:rsidR="00D702DE" w:rsidRDefault="00D702DE">
      <w:pPr>
        <w:pStyle w:val="BodyText"/>
        <w:spacing w:before="1"/>
        <w:rPr>
          <w:sz w:val="19"/>
        </w:rPr>
      </w:pPr>
    </w:p>
    <w:p w:rsidR="00D702DE" w:rsidRDefault="00514EB8">
      <w:pPr>
        <w:pStyle w:val="ListParagraph"/>
        <w:numPr>
          <w:ilvl w:val="2"/>
          <w:numId w:val="1"/>
        </w:numPr>
        <w:tabs>
          <w:tab w:val="left" w:pos="1740"/>
        </w:tabs>
        <w:spacing w:before="1"/>
        <w:ind w:right="2259"/>
        <w:jc w:val="both"/>
        <w:rPr>
          <w:sz w:val="20"/>
        </w:rPr>
      </w:pPr>
      <w:r>
        <w:rPr>
          <w:sz w:val="20"/>
        </w:rPr>
        <w:t>Space should be designated for raw material and final product storage. The area should be designed to allow for separate areas for quarantined, released and rejected material and there should be adequate</w:t>
      </w:r>
      <w:r>
        <w:rPr>
          <w:spacing w:val="-25"/>
          <w:sz w:val="20"/>
        </w:rPr>
        <w:t xml:space="preserve"> </w:t>
      </w:r>
      <w:r>
        <w:rPr>
          <w:sz w:val="20"/>
        </w:rPr>
        <w:t>security.</w:t>
      </w:r>
    </w:p>
    <w:p w:rsidR="00D702DE" w:rsidRDefault="00D702DE">
      <w:pPr>
        <w:pStyle w:val="BodyText"/>
        <w:spacing w:before="4"/>
        <w:rPr>
          <w:sz w:val="19"/>
        </w:rPr>
      </w:pPr>
    </w:p>
    <w:p w:rsidR="00D702DE" w:rsidRDefault="00514EB8">
      <w:pPr>
        <w:pStyle w:val="ListParagraph"/>
        <w:numPr>
          <w:ilvl w:val="2"/>
          <w:numId w:val="1"/>
        </w:numPr>
        <w:tabs>
          <w:tab w:val="left" w:pos="1740"/>
        </w:tabs>
        <w:ind w:right="2261"/>
        <w:jc w:val="both"/>
        <w:rPr>
          <w:sz w:val="20"/>
        </w:rPr>
      </w:pPr>
      <w:r>
        <w:rPr>
          <w:sz w:val="20"/>
        </w:rPr>
        <w:t xml:space="preserve">Space should </w:t>
      </w:r>
      <w:r>
        <w:rPr>
          <w:sz w:val="20"/>
        </w:rPr>
        <w:t>be designated for media/reagent preparation with a controlled environment.</w:t>
      </w:r>
    </w:p>
    <w:p w:rsidR="00D702DE" w:rsidRDefault="00D702DE">
      <w:pPr>
        <w:pStyle w:val="BodyText"/>
        <w:spacing w:before="5"/>
        <w:rPr>
          <w:sz w:val="19"/>
        </w:rPr>
      </w:pPr>
    </w:p>
    <w:p w:rsidR="00D702DE" w:rsidRDefault="00514EB8">
      <w:pPr>
        <w:pStyle w:val="ListParagraph"/>
        <w:numPr>
          <w:ilvl w:val="2"/>
          <w:numId w:val="1"/>
        </w:numPr>
        <w:tabs>
          <w:tab w:val="left" w:pos="1740"/>
        </w:tabs>
        <w:spacing w:before="1" w:line="240" w:lineRule="auto"/>
        <w:rPr>
          <w:sz w:val="20"/>
        </w:rPr>
      </w:pPr>
      <w:r>
        <w:rPr>
          <w:sz w:val="20"/>
        </w:rPr>
        <w:t>There should be adequate space for glassware washing and</w:t>
      </w:r>
      <w:r>
        <w:rPr>
          <w:spacing w:val="-29"/>
          <w:sz w:val="20"/>
        </w:rPr>
        <w:t xml:space="preserve"> </w:t>
      </w:r>
      <w:r>
        <w:rPr>
          <w:sz w:val="20"/>
        </w:rPr>
        <w:t>autoclaving.</w:t>
      </w:r>
    </w:p>
    <w:p w:rsidR="00D702DE" w:rsidRDefault="00D702DE">
      <w:pPr>
        <w:pStyle w:val="BodyText"/>
        <w:spacing w:before="6"/>
        <w:rPr>
          <w:sz w:val="18"/>
        </w:rPr>
      </w:pPr>
    </w:p>
    <w:p w:rsidR="00D702DE" w:rsidRDefault="00514EB8">
      <w:pPr>
        <w:pStyle w:val="ListParagraph"/>
        <w:numPr>
          <w:ilvl w:val="2"/>
          <w:numId w:val="1"/>
        </w:numPr>
        <w:tabs>
          <w:tab w:val="left" w:pos="1740"/>
        </w:tabs>
        <w:ind w:right="2262"/>
        <w:jc w:val="both"/>
        <w:rPr>
          <w:sz w:val="20"/>
        </w:rPr>
      </w:pPr>
      <w:r>
        <w:rPr>
          <w:sz w:val="20"/>
        </w:rPr>
        <w:t>There should be gowning areas for very clean areas (formulation/filling) and possibly the fermentation</w:t>
      </w:r>
      <w:r>
        <w:rPr>
          <w:spacing w:val="-11"/>
          <w:sz w:val="20"/>
        </w:rPr>
        <w:t xml:space="preserve"> </w:t>
      </w:r>
      <w:r>
        <w:rPr>
          <w:sz w:val="20"/>
        </w:rPr>
        <w:t>area.</w:t>
      </w:r>
    </w:p>
    <w:p w:rsidR="00D702DE" w:rsidRDefault="00D702DE">
      <w:pPr>
        <w:pStyle w:val="BodyText"/>
        <w:spacing w:before="4"/>
        <w:rPr>
          <w:sz w:val="19"/>
        </w:rPr>
      </w:pPr>
    </w:p>
    <w:p w:rsidR="00D702DE" w:rsidRDefault="00514EB8">
      <w:pPr>
        <w:pStyle w:val="ListParagraph"/>
        <w:numPr>
          <w:ilvl w:val="2"/>
          <w:numId w:val="1"/>
        </w:numPr>
        <w:tabs>
          <w:tab w:val="left" w:pos="1740"/>
        </w:tabs>
        <w:ind w:right="2254"/>
        <w:jc w:val="both"/>
        <w:rPr>
          <w:sz w:val="20"/>
        </w:rPr>
      </w:pPr>
      <w:r>
        <w:rPr>
          <w:sz w:val="20"/>
        </w:rPr>
        <w:t>Find out now what other microorganisms are being used in the facility and keep track of any new organisms which may be used in the</w:t>
      </w:r>
      <w:r>
        <w:rPr>
          <w:spacing w:val="-32"/>
          <w:sz w:val="20"/>
        </w:rPr>
        <w:t xml:space="preserve"> </w:t>
      </w:r>
      <w:r>
        <w:rPr>
          <w:sz w:val="20"/>
        </w:rPr>
        <w:t>future.</w:t>
      </w:r>
    </w:p>
    <w:p w:rsidR="00D702DE" w:rsidRDefault="00D702DE">
      <w:pPr>
        <w:pStyle w:val="BodyText"/>
      </w:pPr>
    </w:p>
    <w:p w:rsidR="00D702DE" w:rsidRDefault="00D702DE">
      <w:pPr>
        <w:pStyle w:val="BodyText"/>
      </w:pPr>
    </w:p>
    <w:p w:rsidR="00D702DE" w:rsidRDefault="00D702DE">
      <w:pPr>
        <w:pStyle w:val="BodyText"/>
      </w:pPr>
    </w:p>
    <w:p w:rsidR="00D702DE" w:rsidRDefault="00D702DE">
      <w:pPr>
        <w:pStyle w:val="BodyText"/>
      </w:pPr>
    </w:p>
    <w:p w:rsidR="00D702DE" w:rsidRDefault="00D702DE">
      <w:pPr>
        <w:pStyle w:val="BodyText"/>
      </w:pPr>
    </w:p>
    <w:p w:rsidR="00D702DE" w:rsidRDefault="00514EB8">
      <w:pPr>
        <w:pStyle w:val="BodyText"/>
        <w:spacing w:before="9"/>
        <w:rPr>
          <w:sz w:val="19"/>
        </w:rPr>
      </w:pPr>
      <w:r>
        <w:pict>
          <v:line id="_x0000_s1026" style="position:absolute;z-index:1600;mso-wrap-distance-left:0;mso-wrap-distance-right:0;mso-position-horizontal-relative:page" from="70.55pt,14.95pt" to="523.45pt,14.95pt" strokeweight="1.44pt">
            <w10:wrap type="topAndBottom" anchorx="page"/>
          </v:line>
        </w:pict>
      </w:r>
    </w:p>
    <w:p w:rsidR="00D702DE" w:rsidRDefault="00514EB8">
      <w:pPr>
        <w:spacing w:line="205" w:lineRule="exact"/>
        <w:ind w:left="660"/>
        <w:rPr>
          <w:rFonts w:ascii="Arial"/>
          <w:b/>
          <w:sz w:val="18"/>
        </w:rPr>
      </w:pPr>
      <w:r>
        <w:rPr>
          <w:rFonts w:ascii="Arial"/>
          <w:b/>
          <w:sz w:val="18"/>
        </w:rPr>
        <w:t>16</w:t>
      </w:r>
    </w:p>
    <w:sectPr w:rsidR="00D702DE">
      <w:pgSz w:w="12240" w:h="15840"/>
      <w:pgMar w:top="540" w:right="260" w:bottom="680" w:left="780" w:header="233" w:footer="48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4EB8" w:rsidRDefault="00514EB8">
      <w:r>
        <w:separator/>
      </w:r>
    </w:p>
  </w:endnote>
  <w:endnote w:type="continuationSeparator" w:id="0">
    <w:p w:rsidR="00514EB8" w:rsidRDefault="00514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2DE" w:rsidRDefault="00514EB8">
    <w:pPr>
      <w:pStyle w:val="BodyText"/>
      <w:spacing w:line="14" w:lineRule="auto"/>
    </w:pPr>
    <w:r>
      <w:pict>
        <v:line id="_x0000_s2051" style="position:absolute;z-index:-20128;mso-position-horizontal-relative:page;mso-position-vertical-relative:page" from="88.55pt,737.65pt" to="541.45pt,737.65pt" strokeweight="1.44pt">
          <w10:wrap anchorx="page" anchory="page"/>
        </v:line>
      </w:pict>
    </w:r>
    <w:r>
      <w:pict>
        <v:shapetype id="_x0000_t202" coordsize="21600,21600" o:spt="202" path="m,l,21600r21600,l21600,xe">
          <v:stroke joinstyle="miter"/>
          <v:path gradientshapeok="t" o:connecttype="rect"/>
        </v:shapetype>
        <v:shape id="_x0000_s2050" type="#_x0000_t202" style="position:absolute;margin-left:43.35pt;margin-top:739.85pt;width:524.8pt;height:25.8pt;z-index:-20104;mso-position-horizontal-relative:page;mso-position-vertical-relative:page" filled="f" stroked="f">
          <v:textbox inset="0,0,0,0">
            <w:txbxContent>
              <w:p w:rsidR="00D702DE" w:rsidRDefault="00D702DE">
                <w:pPr>
                  <w:spacing w:before="134"/>
                  <w:ind w:left="20"/>
                  <w:rPr>
                    <w:rFonts w:ascii="Arial"/>
                    <w:sz w:val="14"/>
                  </w:rPr>
                </w:pP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2DE" w:rsidRDefault="00514EB8">
    <w:pPr>
      <w:pStyle w:val="BodyText"/>
      <w:spacing w:line="14" w:lineRule="auto"/>
    </w:pPr>
    <w:r>
      <w:pict>
        <v:shapetype id="_x0000_t202" coordsize="21600,21600" o:spt="202" path="m,l,21600r21600,l21600,xe">
          <v:stroke joinstyle="miter"/>
          <v:path gradientshapeok="t" o:connecttype="rect"/>
        </v:shapetype>
        <v:shape id="_x0000_s2049" type="#_x0000_t202" style="position:absolute;margin-left:43.35pt;margin-top:756.65pt;width:524.8pt;height:9pt;z-index:-20080;mso-position-horizontal-relative:page;mso-position-vertical-relative:page" filled="f" stroked="f">
          <v:textbox style="mso-next-textbox:#_x0000_s2049" inset="0,0,0,0">
            <w:txbxContent>
              <w:p w:rsidR="00D702DE" w:rsidRDefault="00D702DE">
                <w:pPr>
                  <w:spacing w:before="2"/>
                  <w:ind w:left="20"/>
                  <w:rPr>
                    <w:rFonts w:ascii="Arial"/>
                    <w:sz w:val="14"/>
                  </w:rPr>
                </w:pP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4EB8" w:rsidRDefault="00514EB8">
      <w:r>
        <w:separator/>
      </w:r>
    </w:p>
  </w:footnote>
  <w:footnote w:type="continuationSeparator" w:id="0">
    <w:p w:rsidR="00514EB8" w:rsidRDefault="00514E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2DE" w:rsidRDefault="00D702DE">
    <w:pPr>
      <w:pStyle w:val="BodyText"/>
      <w:spacing w:line="14"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F35235"/>
    <w:multiLevelType w:val="multilevel"/>
    <w:tmpl w:val="B178DC20"/>
    <w:lvl w:ilvl="0">
      <w:start w:val="692"/>
      <w:numFmt w:val="decimal"/>
      <w:lvlText w:val="%1"/>
      <w:lvlJc w:val="left"/>
      <w:pPr>
        <w:ind w:left="8661" w:hanging="8002"/>
        <w:jc w:val="left"/>
      </w:pPr>
      <w:rPr>
        <w:rFonts w:hint="default"/>
      </w:rPr>
    </w:lvl>
    <w:lvl w:ilvl="1">
      <w:start w:val="41"/>
      <w:numFmt w:val="decimal"/>
      <w:lvlText w:val="%1-%2"/>
      <w:lvlJc w:val="left"/>
      <w:pPr>
        <w:ind w:left="8661" w:hanging="8002"/>
        <w:jc w:val="left"/>
      </w:pPr>
      <w:rPr>
        <w:rFonts w:ascii="Arial" w:eastAsia="Arial" w:hAnsi="Arial" w:cs="Arial" w:hint="default"/>
        <w:b/>
        <w:bCs/>
        <w:spacing w:val="-1"/>
        <w:w w:val="100"/>
        <w:sz w:val="16"/>
        <w:szCs w:val="16"/>
      </w:rPr>
    </w:lvl>
    <w:lvl w:ilvl="2">
      <w:start w:val="1"/>
      <w:numFmt w:val="decimal"/>
      <w:lvlText w:val="%3."/>
      <w:lvlJc w:val="left"/>
      <w:pPr>
        <w:ind w:left="1739" w:hanging="360"/>
        <w:jc w:val="left"/>
      </w:pPr>
      <w:rPr>
        <w:rFonts w:ascii="Book Antiqua" w:eastAsia="Book Antiqua" w:hAnsi="Book Antiqua" w:cs="Book Antiqua" w:hint="default"/>
        <w:spacing w:val="0"/>
        <w:w w:val="99"/>
        <w:sz w:val="20"/>
        <w:szCs w:val="20"/>
      </w:rPr>
    </w:lvl>
    <w:lvl w:ilvl="3">
      <w:numFmt w:val="bullet"/>
      <w:lvlText w:val="•"/>
      <w:lvlJc w:val="left"/>
      <w:pPr>
        <w:ind w:left="9224" w:hanging="360"/>
      </w:pPr>
      <w:rPr>
        <w:rFonts w:hint="default"/>
      </w:rPr>
    </w:lvl>
    <w:lvl w:ilvl="4">
      <w:numFmt w:val="bullet"/>
      <w:lvlText w:val="•"/>
      <w:lvlJc w:val="left"/>
      <w:pPr>
        <w:ind w:left="9506" w:hanging="360"/>
      </w:pPr>
      <w:rPr>
        <w:rFonts w:hint="default"/>
      </w:rPr>
    </w:lvl>
    <w:lvl w:ilvl="5">
      <w:numFmt w:val="bullet"/>
      <w:lvlText w:val="•"/>
      <w:lvlJc w:val="left"/>
      <w:pPr>
        <w:ind w:left="9788" w:hanging="360"/>
      </w:pPr>
      <w:rPr>
        <w:rFonts w:hint="default"/>
      </w:rPr>
    </w:lvl>
    <w:lvl w:ilvl="6">
      <w:numFmt w:val="bullet"/>
      <w:lvlText w:val="•"/>
      <w:lvlJc w:val="left"/>
      <w:pPr>
        <w:ind w:left="10071" w:hanging="360"/>
      </w:pPr>
      <w:rPr>
        <w:rFonts w:hint="default"/>
      </w:rPr>
    </w:lvl>
    <w:lvl w:ilvl="7">
      <w:numFmt w:val="bullet"/>
      <w:lvlText w:val="•"/>
      <w:lvlJc w:val="left"/>
      <w:pPr>
        <w:ind w:left="10353" w:hanging="360"/>
      </w:pPr>
      <w:rPr>
        <w:rFonts w:hint="default"/>
      </w:rPr>
    </w:lvl>
    <w:lvl w:ilvl="8">
      <w:numFmt w:val="bullet"/>
      <w:lvlText w:val="•"/>
      <w:lvlJc w:val="left"/>
      <w:pPr>
        <w:ind w:left="10635"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D702DE"/>
    <w:rsid w:val="00514EB8"/>
    <w:rsid w:val="00D702DE"/>
    <w:rsid w:val="00E135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11AC7B3A-A604-4EDB-ABC4-3828B4FEDC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Book Antiqua" w:eastAsia="Book Antiqua" w:hAnsi="Book Antiqua" w:cs="Book Antiqua"/>
    </w:rPr>
  </w:style>
  <w:style w:type="paragraph" w:styleId="Heading1">
    <w:name w:val="heading 1"/>
    <w:basedOn w:val="Normal"/>
    <w:uiPriority w:val="1"/>
    <w:qFormat/>
    <w:pPr>
      <w:ind w:left="3249"/>
      <w:outlineLvl w:val="0"/>
    </w:pPr>
    <w:rPr>
      <w:rFonts w:ascii="Arial" w:eastAsia="Arial" w:hAnsi="Arial" w:cs="Arial"/>
      <w:b/>
      <w:bCs/>
      <w:sz w:val="24"/>
      <w:szCs w:val="24"/>
    </w:rPr>
  </w:style>
  <w:style w:type="paragraph" w:styleId="Heading2">
    <w:name w:val="heading 2"/>
    <w:basedOn w:val="Normal"/>
    <w:uiPriority w:val="1"/>
    <w:qFormat/>
    <w:pPr>
      <w:ind w:left="660"/>
      <w:outlineLvl w:val="1"/>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line="242" w:lineRule="exact"/>
      <w:ind w:left="1739" w:hanging="360"/>
      <w:jc w:val="both"/>
    </w:pPr>
  </w:style>
  <w:style w:type="paragraph" w:customStyle="1" w:styleId="TableParagraph">
    <w:name w:val="Table Paragraph"/>
    <w:basedOn w:val="Normal"/>
    <w:uiPriority w:val="1"/>
    <w:qFormat/>
    <w:pPr>
      <w:spacing w:before="37"/>
      <w:jc w:val="right"/>
    </w:pPr>
    <w:rPr>
      <w:rFonts w:ascii="Arial" w:eastAsia="Arial" w:hAnsi="Arial" w:cs="Arial"/>
    </w:rPr>
  </w:style>
  <w:style w:type="paragraph" w:styleId="Header">
    <w:name w:val="header"/>
    <w:basedOn w:val="Normal"/>
    <w:link w:val="HeaderChar"/>
    <w:uiPriority w:val="99"/>
    <w:unhideWhenUsed/>
    <w:rsid w:val="00E135FD"/>
    <w:pPr>
      <w:tabs>
        <w:tab w:val="center" w:pos="4680"/>
        <w:tab w:val="right" w:pos="9360"/>
      </w:tabs>
    </w:pPr>
  </w:style>
  <w:style w:type="character" w:customStyle="1" w:styleId="HeaderChar">
    <w:name w:val="Header Char"/>
    <w:basedOn w:val="DefaultParagraphFont"/>
    <w:link w:val="Header"/>
    <w:uiPriority w:val="99"/>
    <w:rsid w:val="00E135FD"/>
    <w:rPr>
      <w:rFonts w:ascii="Book Antiqua" w:eastAsia="Book Antiqua" w:hAnsi="Book Antiqua" w:cs="Book Antiqua"/>
    </w:rPr>
  </w:style>
  <w:style w:type="paragraph" w:styleId="Footer">
    <w:name w:val="footer"/>
    <w:basedOn w:val="Normal"/>
    <w:link w:val="FooterChar"/>
    <w:uiPriority w:val="99"/>
    <w:unhideWhenUsed/>
    <w:rsid w:val="00E135FD"/>
    <w:pPr>
      <w:tabs>
        <w:tab w:val="center" w:pos="4680"/>
        <w:tab w:val="right" w:pos="9360"/>
      </w:tabs>
    </w:pPr>
  </w:style>
  <w:style w:type="character" w:customStyle="1" w:styleId="FooterChar">
    <w:name w:val="Footer Char"/>
    <w:basedOn w:val="DefaultParagraphFont"/>
    <w:link w:val="Footer"/>
    <w:uiPriority w:val="99"/>
    <w:rsid w:val="00E135FD"/>
    <w:rPr>
      <w:rFonts w:ascii="Book Antiqua" w:eastAsia="Book Antiqua" w:hAnsi="Book Antiqua" w:cs="Book Antiq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16</Pages>
  <Words>6650</Words>
  <Characters>37910</Characters>
  <Application>Microsoft Office Word</Application>
  <DocSecurity>0</DocSecurity>
  <Lines>315</Lines>
  <Paragraphs>88</Paragraphs>
  <ScaleCrop>false</ScaleCrop>
  <Company>FANUC</Company>
  <LinksUpToDate>false</LinksUpToDate>
  <CharactersWithSpaces>44472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Nucleon, Inc.</dc:title>
  <dc:creator>Pisano, Gary</dc:creator>
  <cp:lastModifiedBy>Robinson, Isaac</cp:lastModifiedBy>
  <cp:revision>2</cp:revision>
  <dcterms:created xsi:type="dcterms:W3CDTF">2017-06-19T13:49:00Z</dcterms:created>
  <dcterms:modified xsi:type="dcterms:W3CDTF">2017-06-19T13:52:00Z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1999-02-08T00:00:00Z</vt:filetime>
  </property>
  <property fmtid="{D5CDD505-2E9C-101B-9397-08002B2CF9AE}" pid="3" name="LastSaved">
    <vt:filetime>2017-06-19T00:00:00Z</vt:filetime>
  </property>
</Properties>
</file>