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076" w:rsidRPr="00F82A1E" w:rsidRDefault="00656076" w:rsidP="00CA4773">
      <w:pPr>
        <w:rPr>
          <w:rFonts w:ascii="Arial" w:hAnsi="Arial"/>
        </w:rPr>
      </w:pPr>
      <w:r w:rsidRPr="00F82A1E">
        <w:rPr>
          <w:rFonts w:ascii="Arial" w:hAnsi="Arial"/>
        </w:rPr>
        <w:t>Sample Application of a Secondary Source</w:t>
      </w:r>
    </w:p>
    <w:p w:rsidR="00656076" w:rsidRPr="00F82A1E" w:rsidRDefault="00656076" w:rsidP="00CA4773">
      <w:pPr>
        <w:rPr>
          <w:rFonts w:ascii="Arial" w:hAnsi="Arial"/>
        </w:rPr>
      </w:pPr>
      <w:r w:rsidRPr="00F82A1E">
        <w:rPr>
          <w:rFonts w:ascii="Arial" w:hAnsi="Arial"/>
        </w:rPr>
        <w:t>English 1110</w:t>
      </w:r>
    </w:p>
    <w:p w:rsidR="00656076" w:rsidRPr="00F82A1E" w:rsidRDefault="00656076" w:rsidP="00CA4773">
      <w:pPr>
        <w:rPr>
          <w:rFonts w:ascii="Arial" w:hAnsi="Arial"/>
        </w:rPr>
      </w:pPr>
    </w:p>
    <w:p w:rsidR="00CA4773" w:rsidRPr="00F82A1E" w:rsidRDefault="00CA4773" w:rsidP="00CA4773">
      <w:pPr>
        <w:rPr>
          <w:rFonts w:ascii="Arial" w:hAnsi="Arial"/>
        </w:rPr>
      </w:pPr>
      <w:r w:rsidRPr="00F82A1E">
        <w:rPr>
          <w:rFonts w:ascii="Arial" w:hAnsi="Arial"/>
        </w:rPr>
        <w:t>This is an example of how to summarize the arguments of a secondary source and then use those arguments to analyze an artifact. If this were my actual Secondary Source Integration, it would start with:</w:t>
      </w:r>
    </w:p>
    <w:p w:rsidR="00CA4773" w:rsidRPr="00F82A1E" w:rsidRDefault="00CA4773" w:rsidP="00CA4773">
      <w:pPr>
        <w:rPr>
          <w:rFonts w:ascii="Arial" w:hAnsi="Arial"/>
        </w:rPr>
      </w:pPr>
    </w:p>
    <w:p w:rsidR="00CA4773" w:rsidRPr="00F82A1E" w:rsidRDefault="00CA4773" w:rsidP="00CA4773">
      <w:pPr>
        <w:pStyle w:val="a3"/>
        <w:numPr>
          <w:ilvl w:val="0"/>
          <w:numId w:val="2"/>
        </w:numPr>
        <w:rPr>
          <w:rFonts w:ascii="Arial" w:hAnsi="Arial"/>
        </w:rPr>
      </w:pPr>
      <w:r w:rsidRPr="00F82A1E">
        <w:rPr>
          <w:rFonts w:ascii="Arial" w:hAnsi="Arial"/>
        </w:rPr>
        <w:t>An introduction of the artifact (who took the picture, where and when it was published)</w:t>
      </w:r>
    </w:p>
    <w:p w:rsidR="00CA4773" w:rsidRPr="00F82A1E" w:rsidRDefault="00CA4773" w:rsidP="00CA4773">
      <w:pPr>
        <w:pStyle w:val="a3"/>
        <w:numPr>
          <w:ilvl w:val="0"/>
          <w:numId w:val="2"/>
        </w:numPr>
        <w:rPr>
          <w:rFonts w:ascii="Arial" w:hAnsi="Arial"/>
        </w:rPr>
      </w:pPr>
      <w:r w:rsidRPr="00F82A1E">
        <w:rPr>
          <w:rFonts w:ascii="Arial" w:hAnsi="Arial"/>
        </w:rPr>
        <w:t>A description of the artifact (A white woman wearing a hoodie and carrying a sign that says “I am Trayvon Martin” at a Black Lives Matter Protest, etc)</w:t>
      </w:r>
    </w:p>
    <w:p w:rsidR="00656076" w:rsidRPr="00F82A1E" w:rsidRDefault="00CA4773" w:rsidP="00CA4773">
      <w:pPr>
        <w:pStyle w:val="a3"/>
        <w:numPr>
          <w:ilvl w:val="0"/>
          <w:numId w:val="2"/>
        </w:numPr>
        <w:rPr>
          <w:rFonts w:ascii="Arial" w:hAnsi="Arial"/>
        </w:rPr>
      </w:pPr>
      <w:r w:rsidRPr="00F82A1E">
        <w:rPr>
          <w:rFonts w:ascii="Arial" w:hAnsi="Arial"/>
        </w:rPr>
        <w:t>My initial analysis of the artifact (What explicit messages does the woman’s protest convey? What messages does her rhetoric imply? Does her message employ ethos, pathos, logos, etc to engage the audience? Does she employ or bust any binaries, etc.)</w:t>
      </w:r>
    </w:p>
    <w:p w:rsidR="00656076" w:rsidRPr="00F82A1E" w:rsidRDefault="00656076" w:rsidP="00656076">
      <w:pPr>
        <w:pStyle w:val="a3"/>
        <w:rPr>
          <w:rFonts w:ascii="Arial" w:hAnsi="Arial"/>
        </w:rPr>
      </w:pPr>
    </w:p>
    <w:p w:rsidR="00CA4773" w:rsidRPr="00F82A1E" w:rsidRDefault="00656076" w:rsidP="00F82A1E">
      <w:pPr>
        <w:pStyle w:val="a3"/>
        <w:ind w:left="0"/>
        <w:rPr>
          <w:rFonts w:ascii="Arial" w:hAnsi="Arial"/>
        </w:rPr>
      </w:pPr>
      <w:r w:rsidRPr="00F82A1E">
        <w:rPr>
          <w:rFonts w:ascii="Arial" w:hAnsi="Arial"/>
        </w:rPr>
        <w:t xml:space="preserve">Following those three sections, I would introduce my first secondary source, </w:t>
      </w:r>
      <w:r w:rsidR="00F82A1E" w:rsidRPr="00F82A1E">
        <w:rPr>
          <w:rFonts w:ascii="Arial" w:hAnsi="Arial"/>
        </w:rPr>
        <w:t xml:space="preserve">summarize its arguments, and then apply those arguments to </w:t>
      </w:r>
      <w:r w:rsidR="00F82A1E">
        <w:rPr>
          <w:rFonts w:ascii="Arial" w:hAnsi="Arial"/>
        </w:rPr>
        <w:t>my analysis. Here is an example:</w:t>
      </w:r>
    </w:p>
    <w:p w:rsidR="00F82A1E" w:rsidRDefault="00F82A1E" w:rsidP="00334A28">
      <w:pPr>
        <w:ind w:firstLine="720"/>
        <w:rPr>
          <w:rFonts w:ascii="Times New Roman" w:hAnsi="Times New Roman"/>
        </w:rPr>
      </w:pPr>
    </w:p>
    <w:p w:rsidR="00CA4773" w:rsidRDefault="00CA4773" w:rsidP="00334A28">
      <w:pPr>
        <w:ind w:firstLine="720"/>
        <w:rPr>
          <w:rFonts w:ascii="Times New Roman" w:hAnsi="Times New Roman"/>
        </w:rPr>
      </w:pPr>
    </w:p>
    <w:p w:rsidR="00334A28" w:rsidRPr="0036707C" w:rsidRDefault="00334A28" w:rsidP="00334A28">
      <w:pPr>
        <w:ind w:firstLine="720"/>
        <w:rPr>
          <w:rFonts w:ascii="Times New Roman" w:hAnsi="Times New Roman"/>
        </w:rPr>
      </w:pPr>
      <w:r w:rsidRPr="0036707C">
        <w:rPr>
          <w:rFonts w:ascii="Times New Roman" w:hAnsi="Times New Roman"/>
        </w:rPr>
        <w:t>In her article</w:t>
      </w:r>
      <w:r w:rsidR="00F82A1E">
        <w:rPr>
          <w:rFonts w:ascii="Times New Roman" w:hAnsi="Times New Roman"/>
        </w:rPr>
        <w:t xml:space="preserve"> 2015 article,</w:t>
      </w:r>
      <w:r w:rsidRPr="0036707C">
        <w:rPr>
          <w:rFonts w:ascii="Times New Roman" w:hAnsi="Times New Roman"/>
        </w:rPr>
        <w:t xml:space="preserve"> “</w:t>
      </w:r>
      <w:r w:rsidRPr="0036707C">
        <w:rPr>
          <w:rFonts w:ascii="Times New Roman" w:hAnsi="Times New Roman"/>
          <w:u w:val="single"/>
        </w:rPr>
        <w:tab/>
      </w:r>
      <w:r>
        <w:rPr>
          <w:rFonts w:ascii="Times New Roman" w:hAnsi="Times New Roman"/>
          <w:u w:val="single"/>
        </w:rPr>
        <w:tab/>
      </w:r>
      <w:r w:rsidRPr="0036707C">
        <w:rPr>
          <w:rFonts w:ascii="Times New Roman" w:hAnsi="Times New Roman"/>
        </w:rPr>
        <w:t xml:space="preserve"> While Black: Millennial Race Play and the Post-Hip-Hop-Generation,”</w:t>
      </w:r>
      <w:r w:rsidR="00F82A1E">
        <w:rPr>
          <w:rFonts w:ascii="Times New Roman" w:hAnsi="Times New Roman"/>
        </w:rPr>
        <w:t xml:space="preserve"> published in the journal </w:t>
      </w:r>
      <w:r w:rsidR="00F82A1E" w:rsidRPr="00F82A1E">
        <w:rPr>
          <w:rFonts w:ascii="Times New Roman" w:hAnsi="Times New Roman"/>
          <w:i/>
        </w:rPr>
        <w:t>Cultural Studies</w:t>
      </w:r>
      <w:r w:rsidR="00F82A1E">
        <w:rPr>
          <w:rFonts w:ascii="Times New Roman" w:hAnsi="Times New Roman"/>
          <w:i/>
        </w:rPr>
        <w:t>,</w:t>
      </w:r>
      <w:r w:rsidR="00F82A1E" w:rsidRPr="00F82A1E">
        <w:rPr>
          <w:rFonts w:ascii="Times New Roman" w:hAnsi="Times New Roman"/>
          <w:i/>
        </w:rPr>
        <w:t xml:space="preserve"> Critical Methodologies</w:t>
      </w:r>
      <w:r w:rsidR="00F82A1E">
        <w:rPr>
          <w:rFonts w:ascii="Times New Roman" w:hAnsi="Times New Roman"/>
        </w:rPr>
        <w:t xml:space="preserve">, </w:t>
      </w:r>
      <w:r w:rsidRPr="0036707C">
        <w:rPr>
          <w:rFonts w:ascii="Times New Roman" w:hAnsi="Times New Roman"/>
        </w:rPr>
        <w:t>Aisha Durham argues that in this era of postrace mythology</w:t>
      </w:r>
      <w:r>
        <w:rPr>
          <w:rFonts w:ascii="Times New Roman" w:hAnsi="Times New Roman"/>
        </w:rPr>
        <w:t>, while George Zimmerman’s killing of Trayvon Martin inspired a generation of Black and Brown hoodie activism,</w:t>
      </w:r>
      <w:r w:rsidRPr="0036707C">
        <w:rPr>
          <w:rFonts w:ascii="Times New Roman" w:hAnsi="Times New Roman"/>
        </w:rPr>
        <w:t xml:space="preserve"> the real and i</w:t>
      </w:r>
      <w:r>
        <w:rPr>
          <w:rFonts w:ascii="Times New Roman" w:hAnsi="Times New Roman"/>
        </w:rPr>
        <w:t>magined body of Trayvon Martin “</w:t>
      </w:r>
      <w:r w:rsidRPr="0036707C">
        <w:rPr>
          <w:rFonts w:ascii="Times New Roman" w:hAnsi="Times New Roman"/>
        </w:rPr>
        <w:t>animated white racial humor and rage” and became a medium for young white men to engage in race play</w:t>
      </w:r>
      <w:r>
        <w:rPr>
          <w:rFonts w:ascii="Times New Roman" w:hAnsi="Times New Roman"/>
        </w:rPr>
        <w:t xml:space="preserve"> (253)</w:t>
      </w:r>
      <w:r w:rsidRPr="0036707C">
        <w:rPr>
          <w:rFonts w:ascii="Times New Roman" w:hAnsi="Times New Roman"/>
        </w:rPr>
        <w:t>. Durham analyzes “trayvoning,” the trend of white millennial men dressing up “as Trayvon”—complete with Black face—and then creating social media posts portraying themselves as such. Durham establishes “doublethink” and “white fantasy” as useful analytics of whiteness as she unmasks the impulses behind</w:t>
      </w:r>
      <w:r>
        <w:rPr>
          <w:rFonts w:ascii="Times New Roman" w:hAnsi="Times New Roman"/>
        </w:rPr>
        <w:t xml:space="preserve"> modern</w:t>
      </w:r>
      <w:r w:rsidRPr="0036707C">
        <w:rPr>
          <w:rFonts w:ascii="Times New Roman" w:hAnsi="Times New Roman"/>
        </w:rPr>
        <w:t xml:space="preserve"> race play. </w:t>
      </w:r>
    </w:p>
    <w:p w:rsidR="00270F7D" w:rsidRDefault="006F6BC8" w:rsidP="006F6BC8">
      <w:pPr>
        <w:ind w:firstLine="720"/>
        <w:rPr>
          <w:rFonts w:ascii="Times New Roman" w:hAnsi="Times New Roman"/>
        </w:rPr>
      </w:pPr>
      <w:r>
        <w:rPr>
          <w:rFonts w:ascii="Times New Roman" w:hAnsi="Times New Roman"/>
        </w:rPr>
        <w:t>According to Durham, race-</w:t>
      </w:r>
      <w:r w:rsidR="00334A28">
        <w:rPr>
          <w:rFonts w:ascii="Times New Roman" w:hAnsi="Times New Roman"/>
        </w:rPr>
        <w:t xml:space="preserve">players (white people who perform Blackness) must engage in doublethink, the </w:t>
      </w:r>
      <w:r>
        <w:rPr>
          <w:rFonts w:ascii="Times New Roman" w:hAnsi="Times New Roman"/>
        </w:rPr>
        <w:t>simultan</w:t>
      </w:r>
      <w:r w:rsidR="00334A28" w:rsidRPr="0036707C">
        <w:rPr>
          <w:rFonts w:ascii="Times New Roman" w:hAnsi="Times New Roman"/>
        </w:rPr>
        <w:t xml:space="preserve">eously </w:t>
      </w:r>
      <w:r w:rsidR="00334A28">
        <w:rPr>
          <w:rFonts w:ascii="Times New Roman" w:hAnsi="Times New Roman"/>
        </w:rPr>
        <w:t>belief of contradictory ideas.</w:t>
      </w:r>
      <w:r w:rsidR="00334A28" w:rsidRPr="0036707C">
        <w:rPr>
          <w:rFonts w:ascii="Times New Roman" w:hAnsi="Times New Roman"/>
        </w:rPr>
        <w:t xml:space="preserve"> Durham also argues that race play uses the Black body as the repository for White fantasy and by unmasking this modern day minstrelsy, we expose the white fantasy that lies beneath. In her analysis of “trayvoning” Durham argues that the white male “pleasure in playing a dead Martin comes from the experiential knowledge of whiteness that allows them to strike a fa</w:t>
      </w:r>
      <w:r w:rsidR="00334A28">
        <w:rPr>
          <w:rFonts w:ascii="Times New Roman" w:hAnsi="Times New Roman"/>
        </w:rPr>
        <w:t>tal pose and walk away unharmed</w:t>
      </w:r>
      <w:r w:rsidR="00334A28" w:rsidRPr="0036707C">
        <w:rPr>
          <w:rFonts w:ascii="Times New Roman" w:hAnsi="Times New Roman"/>
        </w:rPr>
        <w:t>”</w:t>
      </w:r>
      <w:r w:rsidR="00334A28">
        <w:rPr>
          <w:rFonts w:ascii="Times New Roman" w:hAnsi="Times New Roman"/>
        </w:rPr>
        <w:t xml:space="preserve"> (257).</w:t>
      </w:r>
    </w:p>
    <w:p w:rsidR="00584875" w:rsidRDefault="00270F7D" w:rsidP="005A7F24">
      <w:pPr>
        <w:ind w:firstLine="720"/>
        <w:rPr>
          <w:rFonts w:ascii="Times New Roman" w:hAnsi="Times New Roman"/>
        </w:rPr>
      </w:pPr>
      <w:r>
        <w:rPr>
          <w:rFonts w:ascii="Times New Roman" w:hAnsi="Times New Roman"/>
        </w:rPr>
        <w:t>For the purposes of her article, Durham limits her characterization of race play as being the act of white millennials who “try on Trayvon for fun.” I will consider the implications of using the unmasking of race play as a tool for analyzing the rhetoric of white liberals who participated in “I am Trayvon” prote</w:t>
      </w:r>
      <w:r w:rsidR="00A566B9">
        <w:rPr>
          <w:rFonts w:ascii="Times New Roman" w:hAnsi="Times New Roman"/>
        </w:rPr>
        <w:t xml:space="preserve">sts, by dressing up as Trayvon or </w:t>
      </w:r>
      <w:r>
        <w:rPr>
          <w:rFonts w:ascii="Times New Roman" w:hAnsi="Times New Roman"/>
        </w:rPr>
        <w:t>posting with the h</w:t>
      </w:r>
      <w:r w:rsidR="00584875">
        <w:rPr>
          <w:rFonts w:ascii="Times New Roman" w:hAnsi="Times New Roman"/>
        </w:rPr>
        <w:t>ashtag #IamTrayon.</w:t>
      </w:r>
      <w:r w:rsidR="00A566B9">
        <w:rPr>
          <w:rFonts w:ascii="Times New Roman" w:hAnsi="Times New Roman"/>
        </w:rPr>
        <w:t xml:space="preserve"> </w:t>
      </w:r>
      <w:r w:rsidR="00555244">
        <w:rPr>
          <w:rFonts w:ascii="Times New Roman" w:hAnsi="Times New Roman"/>
        </w:rPr>
        <w:t>To analyze this as an act of race play, we must identify the doublethink required to perform this rhetoric and the white fantasy it exposes.</w:t>
      </w:r>
    </w:p>
    <w:p w:rsidR="002C4074" w:rsidRDefault="00E767BC" w:rsidP="00270F7D">
      <w:pPr>
        <w:ind w:firstLine="720"/>
        <w:rPr>
          <w:rFonts w:ascii="Times New Roman" w:hAnsi="Times New Roman"/>
        </w:rPr>
      </w:pPr>
      <w:r>
        <w:rPr>
          <w:rFonts w:ascii="Times New Roman" w:hAnsi="Times New Roman"/>
        </w:rPr>
        <w:t>The white woman dressed as Trayvon at the Black Lives Matter protest must understand that state violence targets Black people, and that</w:t>
      </w:r>
      <w:r w:rsidR="00DD4503">
        <w:rPr>
          <w:rFonts w:ascii="Times New Roman" w:hAnsi="Times New Roman"/>
        </w:rPr>
        <w:t xml:space="preserve"> a</w:t>
      </w:r>
      <w:r>
        <w:rPr>
          <w:rFonts w:ascii="Times New Roman" w:hAnsi="Times New Roman"/>
        </w:rPr>
        <w:t xml:space="preserve"> </w:t>
      </w:r>
      <w:r w:rsidR="00DD4503">
        <w:rPr>
          <w:rFonts w:ascii="Times New Roman" w:hAnsi="Times New Roman"/>
        </w:rPr>
        <w:t xml:space="preserve">Black person wearing a </w:t>
      </w:r>
      <w:r w:rsidR="00DD4503">
        <w:rPr>
          <w:rFonts w:ascii="Times New Roman" w:hAnsi="Times New Roman"/>
        </w:rPr>
        <w:lastRenderedPageBreak/>
        <w:t>hoodie will typically be seen as a thug, whereas a white person wearing a hoodie is generally understood to be on their way to the gym. If she did not understand this, she would not be at this protest. However, by dressing as Trayvon and carrying a sign that says “I am Trayvon Martin,” the woman expresses the implicit message</w:t>
      </w:r>
      <w:r w:rsidR="00437DC4">
        <w:rPr>
          <w:rFonts w:ascii="Times New Roman" w:hAnsi="Times New Roman"/>
        </w:rPr>
        <w:t>,</w:t>
      </w:r>
      <w:r w:rsidR="00DD4503">
        <w:rPr>
          <w:rFonts w:ascii="Times New Roman" w:hAnsi="Times New Roman"/>
        </w:rPr>
        <w:t xml:space="preserve"> “what happened to Trayvon co</w:t>
      </w:r>
      <w:r w:rsidR="00437DC4">
        <w:rPr>
          <w:rFonts w:ascii="Times New Roman" w:hAnsi="Times New Roman"/>
        </w:rPr>
        <w:t xml:space="preserve">uld just as easily happen to me,” and exposes the doublethink involved in her act of protest. White activists who seek to express solidarity by wearing a hoodie and proclaiming “I am Trayvon,” must </w:t>
      </w:r>
      <w:r w:rsidR="002C4074">
        <w:rPr>
          <w:rFonts w:ascii="Times New Roman" w:hAnsi="Times New Roman"/>
        </w:rPr>
        <w:t xml:space="preserve">understand that Black (not white) bodies are the targets of state violence, and </w:t>
      </w:r>
      <w:r w:rsidR="00B17F9D">
        <w:rPr>
          <w:rFonts w:ascii="Times New Roman" w:hAnsi="Times New Roman"/>
        </w:rPr>
        <w:t xml:space="preserve">simultaneously </w:t>
      </w:r>
      <w:r w:rsidR="002C4074">
        <w:rPr>
          <w:rFonts w:ascii="Times New Roman" w:hAnsi="Times New Roman"/>
        </w:rPr>
        <w:t>believe</w:t>
      </w:r>
      <w:r w:rsidR="00B17F9D">
        <w:rPr>
          <w:rFonts w:ascii="Times New Roman" w:hAnsi="Times New Roman"/>
        </w:rPr>
        <w:t xml:space="preserve"> the contradictory idea</w:t>
      </w:r>
      <w:r w:rsidR="002C4074">
        <w:rPr>
          <w:rFonts w:ascii="Times New Roman" w:hAnsi="Times New Roman"/>
        </w:rPr>
        <w:t xml:space="preserve"> that by wearing a hoodie or saying “I am Trayvon” a white person can somehow share the burden of being targeted.</w:t>
      </w:r>
    </w:p>
    <w:p w:rsidR="00F82A1E" w:rsidRDefault="002C4074" w:rsidP="00B24522">
      <w:pPr>
        <w:ind w:firstLine="720"/>
        <w:rPr>
          <w:rFonts w:ascii="Times New Roman" w:hAnsi="Times New Roman"/>
        </w:rPr>
      </w:pPr>
      <w:r>
        <w:rPr>
          <w:rFonts w:ascii="Times New Roman" w:hAnsi="Times New Roman"/>
        </w:rPr>
        <w:t xml:space="preserve">Identifying the doublethink required in this woman’s act of protest helps expose the white fantasy at play in her actions. </w:t>
      </w:r>
      <w:r w:rsidR="00580E8A">
        <w:rPr>
          <w:rFonts w:ascii="Times New Roman" w:hAnsi="Times New Roman"/>
        </w:rPr>
        <w:t xml:space="preserve">If the words “I am Trayvon Martin” imply the belief that the white woman can act in solidarity with her Black peers by somehow sharing the burden of being targeted by state violence, perhaps we can understand this form of protest as a way white activists explore </w:t>
      </w:r>
      <w:r w:rsidR="004B7D58">
        <w:rPr>
          <w:rFonts w:ascii="Times New Roman" w:hAnsi="Times New Roman"/>
        </w:rPr>
        <w:t>a</w:t>
      </w:r>
      <w:r w:rsidR="00580E8A">
        <w:rPr>
          <w:rFonts w:ascii="Times New Roman" w:hAnsi="Times New Roman"/>
        </w:rPr>
        <w:t xml:space="preserve"> desire to be of color and therefore relieved of the guilt they feel </w:t>
      </w:r>
      <w:r w:rsidR="004B7D58">
        <w:rPr>
          <w:rFonts w:ascii="Times New Roman" w:hAnsi="Times New Roman"/>
        </w:rPr>
        <w:t>because they benefit from white supremacy</w:t>
      </w:r>
      <w:r w:rsidR="00580E8A">
        <w:rPr>
          <w:rFonts w:ascii="Times New Roman" w:hAnsi="Times New Roman"/>
        </w:rPr>
        <w:t>.</w:t>
      </w:r>
      <w:r w:rsidR="004B7D58">
        <w:rPr>
          <w:rFonts w:ascii="Times New Roman" w:hAnsi="Times New Roman"/>
        </w:rPr>
        <w:t xml:space="preserve"> Perhaps this form of protest reveals an underlying belief that being the target of oppression is in some way easier than bearing the burden of being an oppressor who does not wish to oppress.</w:t>
      </w:r>
      <w:r w:rsidR="00580E8A">
        <w:rPr>
          <w:rFonts w:ascii="Times New Roman" w:hAnsi="Times New Roman"/>
        </w:rPr>
        <w:t xml:space="preserve"> </w:t>
      </w:r>
    </w:p>
    <w:p w:rsidR="00F82A1E" w:rsidRDefault="00F82A1E" w:rsidP="00B24522">
      <w:pPr>
        <w:ind w:firstLine="720"/>
        <w:rPr>
          <w:rFonts w:ascii="Times New Roman" w:hAnsi="Times New Roman"/>
        </w:rPr>
      </w:pPr>
    </w:p>
    <w:p w:rsidR="00F82A1E" w:rsidRDefault="00F82A1E" w:rsidP="00B24522">
      <w:pPr>
        <w:ind w:firstLine="720"/>
        <w:rPr>
          <w:rFonts w:ascii="Times New Roman" w:hAnsi="Times New Roman"/>
        </w:rPr>
      </w:pPr>
    </w:p>
    <w:p w:rsidR="00F82A1E" w:rsidRDefault="00F82A1E" w:rsidP="00F82A1E">
      <w:pPr>
        <w:rPr>
          <w:rFonts w:ascii="Arial" w:hAnsi="Arial"/>
        </w:rPr>
      </w:pPr>
      <w:r>
        <w:rPr>
          <w:rFonts w:ascii="Arial" w:hAnsi="Arial"/>
        </w:rPr>
        <w:t xml:space="preserve">Following this section, I would: </w:t>
      </w:r>
    </w:p>
    <w:p w:rsidR="00F82A1E" w:rsidRDefault="00F82A1E" w:rsidP="00F82A1E">
      <w:pPr>
        <w:rPr>
          <w:rFonts w:ascii="Arial" w:hAnsi="Arial"/>
        </w:rPr>
      </w:pPr>
    </w:p>
    <w:p w:rsidR="00F82A1E" w:rsidRPr="00F82A1E" w:rsidRDefault="00F82A1E" w:rsidP="00F82A1E">
      <w:pPr>
        <w:pStyle w:val="a3"/>
        <w:numPr>
          <w:ilvl w:val="0"/>
          <w:numId w:val="3"/>
        </w:numPr>
        <w:rPr>
          <w:rFonts w:ascii="Arial" w:hAnsi="Arial"/>
        </w:rPr>
      </w:pPr>
      <w:r w:rsidRPr="00F82A1E">
        <w:rPr>
          <w:rFonts w:ascii="Arial" w:hAnsi="Arial"/>
        </w:rPr>
        <w:t>Introduce and summarize the arguments of a second secondary source</w:t>
      </w:r>
    </w:p>
    <w:p w:rsidR="00F82A1E" w:rsidRDefault="00F82A1E" w:rsidP="00F82A1E">
      <w:pPr>
        <w:pStyle w:val="a3"/>
        <w:numPr>
          <w:ilvl w:val="0"/>
          <w:numId w:val="3"/>
        </w:numPr>
        <w:rPr>
          <w:rFonts w:ascii="Arial" w:hAnsi="Arial"/>
        </w:rPr>
      </w:pPr>
      <w:r>
        <w:rPr>
          <w:rFonts w:ascii="Arial" w:hAnsi="Arial"/>
        </w:rPr>
        <w:t>Apply that secondary source to my analysis</w:t>
      </w:r>
    </w:p>
    <w:p w:rsidR="00F82A1E" w:rsidRDefault="00F82A1E" w:rsidP="00F82A1E">
      <w:pPr>
        <w:pStyle w:val="a3"/>
        <w:numPr>
          <w:ilvl w:val="0"/>
          <w:numId w:val="3"/>
        </w:numPr>
        <w:rPr>
          <w:rFonts w:ascii="Arial" w:hAnsi="Arial"/>
        </w:rPr>
      </w:pPr>
      <w:r>
        <w:rPr>
          <w:rFonts w:ascii="Arial" w:hAnsi="Arial"/>
        </w:rPr>
        <w:t>Put those sources in conversation with each other (show how they relate)</w:t>
      </w:r>
    </w:p>
    <w:p w:rsidR="00334A28" w:rsidRPr="00F82A1E" w:rsidRDefault="00F82A1E" w:rsidP="00F82A1E">
      <w:pPr>
        <w:pStyle w:val="a3"/>
        <w:numPr>
          <w:ilvl w:val="0"/>
          <w:numId w:val="3"/>
        </w:numPr>
        <w:rPr>
          <w:rFonts w:ascii="Arial" w:hAnsi="Arial"/>
        </w:rPr>
      </w:pPr>
      <w:r>
        <w:rPr>
          <w:rFonts w:ascii="Arial" w:hAnsi="Arial"/>
        </w:rPr>
        <w:t>Add my own analytical ideas to the conversation.</w:t>
      </w:r>
    </w:p>
    <w:sectPr w:rsidR="00334A28" w:rsidRPr="00F82A1E" w:rsidSect="00334A2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FCE" w:rsidRDefault="004C2FCE" w:rsidP="00C713CB">
      <w:r>
        <w:separator/>
      </w:r>
    </w:p>
  </w:endnote>
  <w:endnote w:type="continuationSeparator" w:id="1">
    <w:p w:rsidR="004C2FCE" w:rsidRDefault="004C2FCE" w:rsidP="00C71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FCE" w:rsidRDefault="004C2FCE" w:rsidP="00C713CB">
      <w:r>
        <w:separator/>
      </w:r>
    </w:p>
  </w:footnote>
  <w:footnote w:type="continuationSeparator" w:id="1">
    <w:p w:rsidR="004C2FCE" w:rsidRDefault="004C2FCE" w:rsidP="00C71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64BA"/>
    <w:multiLevelType w:val="hybridMultilevel"/>
    <w:tmpl w:val="F80A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225D2"/>
    <w:multiLevelType w:val="hybridMultilevel"/>
    <w:tmpl w:val="4C86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7A5C83"/>
    <w:multiLevelType w:val="hybridMultilevel"/>
    <w:tmpl w:val="6878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bordersDoNotSurroundHeader/>
  <w:bordersDoNotSurroundFooter/>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doNotAutofitConstrainedTables/>
    <w:splitPgBreakAndParaMark/>
    <w:doNotVertAlignCellWithSp/>
    <w:doNotBreakConstrainedForcedTable/>
    <w:useAnsiKerningPairs/>
    <w:cachedColBalance/>
  </w:compat>
  <w:rsids>
    <w:rsidRoot w:val="00334A28"/>
    <w:rsid w:val="001F2AE6"/>
    <w:rsid w:val="00270F7D"/>
    <w:rsid w:val="002C4074"/>
    <w:rsid w:val="00334A28"/>
    <w:rsid w:val="00437DC4"/>
    <w:rsid w:val="00485D3D"/>
    <w:rsid w:val="004B7D58"/>
    <w:rsid w:val="004C2FCE"/>
    <w:rsid w:val="00555244"/>
    <w:rsid w:val="00580E8A"/>
    <w:rsid w:val="00584875"/>
    <w:rsid w:val="005A7F24"/>
    <w:rsid w:val="00656076"/>
    <w:rsid w:val="006F6BC8"/>
    <w:rsid w:val="007731DB"/>
    <w:rsid w:val="008973D9"/>
    <w:rsid w:val="00A566B9"/>
    <w:rsid w:val="00B17F9D"/>
    <w:rsid w:val="00B24522"/>
    <w:rsid w:val="00C713CB"/>
    <w:rsid w:val="00CA4773"/>
    <w:rsid w:val="00DD4503"/>
    <w:rsid w:val="00E767BC"/>
    <w:rsid w:val="00F82A1E"/>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A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A28"/>
    <w:pPr>
      <w:ind w:left="720"/>
      <w:contextualSpacing/>
    </w:pPr>
  </w:style>
  <w:style w:type="paragraph" w:styleId="a4">
    <w:name w:val="header"/>
    <w:basedOn w:val="a"/>
    <w:link w:val="Char"/>
    <w:uiPriority w:val="99"/>
    <w:semiHidden/>
    <w:unhideWhenUsed/>
    <w:rsid w:val="00C713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713CB"/>
    <w:rPr>
      <w:sz w:val="18"/>
      <w:szCs w:val="18"/>
    </w:rPr>
  </w:style>
  <w:style w:type="paragraph" w:styleId="a5">
    <w:name w:val="footer"/>
    <w:basedOn w:val="a"/>
    <w:link w:val="Char0"/>
    <w:uiPriority w:val="99"/>
    <w:semiHidden/>
    <w:unhideWhenUsed/>
    <w:rsid w:val="00C713CB"/>
    <w:pPr>
      <w:tabs>
        <w:tab w:val="center" w:pos="4153"/>
        <w:tab w:val="right" w:pos="8306"/>
      </w:tabs>
      <w:snapToGrid w:val="0"/>
    </w:pPr>
    <w:rPr>
      <w:sz w:val="18"/>
      <w:szCs w:val="18"/>
    </w:rPr>
  </w:style>
  <w:style w:type="character" w:customStyle="1" w:styleId="Char0">
    <w:name w:val="页脚 Char"/>
    <w:basedOn w:val="a0"/>
    <w:link w:val="a5"/>
    <w:uiPriority w:val="99"/>
    <w:semiHidden/>
    <w:rsid w:val="00C713CB"/>
    <w:rPr>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705</Words>
  <Characters>4023</Characters>
  <Application/>
  <DocSecurity>0</DocSecurity>
  <Lines>33</Lines>
  <Paragraphs>9</Paragraphs>
  <ScaleCrop>false</ScaleCrop>
  <Company/>
  <LinksUpToDate>false</LinksUpToDate>
  <CharactersWithSpaces>4719</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