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F8" w:rsidRDefault="007421F8" w:rsidP="007421F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Question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1. BUILD A FACTORY IN THE UNITED STATES: COST, €55MFor years, CCR has wrestled with the question of whether it makes sense not to make chocolate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inthe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US. After all, this is the company’s second-largest market outside of France, and has been fordecades.If only it were that simple. The Benoit family has resisted the urge to make this move for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good reasons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First, if CCR brings capacity to the US, the only way that will not affect the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manufacturing plant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 Brittany is if demand in the US rises to meet the new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capacity Would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CCR be willing to reduce capacity back home? Would CCR be able to find or develop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aworkforce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with the necessary skills? Would cultural barriers between management and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Americanworkers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prove difficult? And would US consumers be as enthusiastic about CCR’s products if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theywere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made in Wisconsin instead of imported from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France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?Those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are the risks. John Hsu believes that the opportunities are also compelling. A new plant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wouldalmost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certainly offer efficiencies, including green architecture and production methods, that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wouldmake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production more efficient than what CCR has in France, with the added bonus of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favorablepress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coverage on what CCR imagines as a “green chocolate” ad campaign upon the opening of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theUS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plant. And a new plant in the US might offer an opportunity to create new lines of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chocolatetailored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to the American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market.Hsu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has proposed a €55 million factory to be built in the US. Arnaud considers this project to be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ahigh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-risk proposition. As a result, this project has a relatively high estimated WACC of 10%.Furthermore, according to a report by the French Ministry for the Economy, Industry,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andEmployment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the US plant would decrease output and subsequent cash flows of the French plant by11.5% each year,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once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the plant is fully operational in Year 4. (There would be no cannibalization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inYears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0-3.) For example, if they build in the US, the expected Year 4 cash flow for the French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plantwould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be 77.99 instead of 88.12 (see Table 1), the expected Year 5 cash flow would be 81.89, not92.53, and so on. Note that this reduction only affects the existing cash flows and not those from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theBrittany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capacity expansion (Project 3 below)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Chocolat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Cordon Rouge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Corporate Finance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 are part of Marcel Arnaud’s team to analyze the 7 different projects under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consideration.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table in the case describes the expected cash flows of the different projects. All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costs and benefits of the projects have been taken into consideration except for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two potential costs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 John Hsu, the manager sponsoring the project to build a factory in the U.S.,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did not include the loss in output of the French plant in Years 4-10. He claims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that those cash flows are not part of his proposed project and as such should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not be included.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Bertrand Godard, who is proposing to expand capacity in Brittany, has not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included the cost of the land because he claims that the firm already owns it.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However, you should note that the cash flows of the project include the sale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 the land in year 10.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Before conducting your analysis, think about whether these decisions are correct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and, if not, adjust the cash flows accordingly.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Clarifications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• The case gives you the WACC of each project. This is just the discount rate. As the case indicates, CCR has only €75M in its bank account to pay for the projects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investment costs.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Assignment Questions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 Compute the NPV and IRR of each project. If there were no budget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constraint, which projects would you recommend?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Which projects would you recommend with the €75M budget? Assume first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that if CCR sells the land, it will NOT use the proceeds to increase its capital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budget.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7421F8" w:rsidRDefault="007421F8" w:rsidP="007421F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421F8" w:rsidRDefault="007421F8" w:rsidP="007421F8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Paper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formaring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</w:p>
    <w:p w:rsidR="00C15928" w:rsidRPr="007421F8" w:rsidRDefault="007421F8" w:rsidP="007421F8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Number of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Pages/ slides: 10 Pages/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Deadline: 2 days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Academic Level: Post-graduate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Paper Format: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APA</w:t>
      </w:r>
    </w:p>
    <w:sectPr w:rsidR="00C15928" w:rsidRPr="00742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F8"/>
    <w:rsid w:val="00635F1D"/>
    <w:rsid w:val="007421F8"/>
    <w:rsid w:val="008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68BC4-1085-4EC7-BF59-68A1284B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565</Words>
  <Characters>3223</Characters>
  <Application/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