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Cross that bridge when you come to it? That could very tiring in Pittsburgh. (2006, Aug 28) Alaska News Retrieved. All the bridges reflect only a small fraction of the spans that crisscross this city. An author visited a professor at UP believes he has come up with a definitive number 446. That could put Pittsburgh over Venice. According to Bob Regan the author of the bridges of Pittsburgh, said he believes Pittsburgh has the greatest variety of bridges anywhere “and they are all beautiful”.</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Modern bridge are super-sized paths of steel with carpets of concrete that soar through the air. Pitz, M.(2013, Jul 21). THE BRIDGES OF PITTSBURGH: THE ALLEGHANY RIVER. PITTSBURGH POST Gazette Retrieved. Bridges are our most functional visible form of public art. These sturdy structure afford us breathtaking views of the region while stocking our sense of optimism. Pittsburgh industries and resources have continued to support its bridges. Pittsburgh and Alleghany county’s golden age of bridge building began in the 1920s, when the county spent $24 million to build 43 bridges and a city art commission insisted that they be beautiful as well as functional.</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There is a new bridge in town and it is dazzling. Ilkhanipour, P. (2012, May 01). A BRIDGE BETWEEN COMMUNITY AND ART. It is equal parts fun, function and art, thanks to artist Sheila Klein, who was selected to create atmosphere and add elements of surprise and delight to the bridge. “I wanted the experience of walking across the bridge to be one civilized surprise dramatic and formal, yet playful and functional,” she said.</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Affectionately known as the city of bridges. When the first European settlers arrived in the 1700s, they had to cross streams and climb steep hillside just to travel around the region.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The city’s first river crossing bridge, the Monongahela Bridge was built in 1818 on the site of what is today the Smithfield Street Bridge. Increasing weight from additional traffic resulted in the closure of Roebling’s Smithfield Street Bridge in 1881.</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1. Expect to cross a lot of bridges if you visit pittsburgh. (2006, Aug 28). Alaska Highway News Retrieved from https://reddog.rmu.edu/login?url=http://search.proquest.com/docview/356434666?accountid=28365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2. Pitz, M. (2013, Jul 21). THE BRIDGES OF PITTSBURGH: THE ALLEGHENY RIVER.Pittsburgh Post - Gazette Retrieved from https://reddog.rmu.edu/login?url=http://search.proquest.com/docview/1404816517?accountid=28365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3. Ilkhanipour, P. (2012, May 01). A BRIDGE BETWEEN COMMUNITY AND ART.Pittsburgh Post - Gazette Retrieved from https://reddog.rmu.edu/login?url=http://search.proquest.com/docview/1010326851?accountid=28365</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4. Smith, B. (2013, Jun 13). CITY OF BRIDGES. Pittsburgh Post - Gazette Retrieved from https://reddog.rmu.edu/login?url=http://search.proquest.com/docview/1366818727?accountid=28365</w:t>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