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9A1" w:rsidRPr="00D729A1" w:rsidRDefault="00D729A1" w:rsidP="00D729A1">
      <w:pPr>
        <w:spacing w:after="0" w:line="240" w:lineRule="auto"/>
        <w:textAlignment w:val="baseline"/>
        <w:outlineLvl w:val="3"/>
        <w:rPr>
          <w:rFonts w:ascii="Arial" w:eastAsia="Times New Roman" w:hAnsi="Arial" w:cs="Arial"/>
          <w:b/>
          <w:bCs/>
          <w:color w:val="C74A1A"/>
          <w:sz w:val="24"/>
          <w:szCs w:val="24"/>
        </w:rPr>
      </w:pPr>
      <w:r w:rsidRPr="00D729A1">
        <w:rPr>
          <w:rFonts w:ascii="inherit" w:eastAsia="Times New Roman" w:hAnsi="inherit" w:cs="Arial"/>
          <w:b/>
          <w:bCs/>
          <w:color w:val="23408F"/>
          <w:sz w:val="24"/>
          <w:szCs w:val="24"/>
          <w:bdr w:val="none" w:sz="0" w:space="0" w:color="auto" w:frame="1"/>
        </w:rPr>
        <w:t>Comparative Analysis Case</w:t>
      </w:r>
    </w:p>
    <w:p w:rsidR="00D729A1" w:rsidRPr="00D729A1" w:rsidRDefault="00D729A1" w:rsidP="00D729A1">
      <w:pPr>
        <w:spacing w:after="0" w:line="240" w:lineRule="auto"/>
        <w:textAlignment w:val="baseline"/>
        <w:outlineLvl w:val="4"/>
        <w:rPr>
          <w:rFonts w:ascii="Arial" w:eastAsia="Times New Roman" w:hAnsi="Arial" w:cs="Arial"/>
          <w:b/>
          <w:bCs/>
          <w:color w:val="007A48"/>
          <w:sz w:val="24"/>
          <w:szCs w:val="24"/>
        </w:rPr>
      </w:pPr>
      <w:r w:rsidRPr="00D729A1">
        <w:rPr>
          <w:rFonts w:ascii="inherit" w:eastAsia="Times New Roman" w:hAnsi="inherit" w:cs="Arial"/>
          <w:b/>
          <w:bCs/>
          <w:color w:val="EE1C25"/>
          <w:sz w:val="24"/>
          <w:szCs w:val="24"/>
          <w:bdr w:val="none" w:sz="0" w:space="0" w:color="auto" w:frame="1"/>
        </w:rPr>
        <w:t>The Coca-Cola Company and PepsiCo, Inc.</w:t>
      </w:r>
    </w:p>
    <w:p w:rsidR="00D729A1" w:rsidRPr="00D729A1" w:rsidRDefault="00D729A1" w:rsidP="00D729A1">
      <w:pPr>
        <w:spacing w:after="0" w:line="240" w:lineRule="auto"/>
        <w:textAlignment w:val="baseline"/>
        <w:rPr>
          <w:rFonts w:ascii="Georgia" w:eastAsia="Times New Roman" w:hAnsi="Georgia" w:cs="Times New Roman"/>
          <w:color w:val="000000"/>
          <w:sz w:val="24"/>
          <w:szCs w:val="24"/>
        </w:rPr>
      </w:pPr>
      <w:r w:rsidRPr="00D729A1">
        <w:rPr>
          <w:rFonts w:ascii="Georgia" w:eastAsia="Times New Roman" w:hAnsi="Georgia" w:cs="Times New Roman"/>
          <w:color w:val="000000"/>
          <w:sz w:val="24"/>
          <w:szCs w:val="24"/>
        </w:rPr>
        <w:t>The financial statements of </w:t>
      </w:r>
      <w:r w:rsidRPr="00D729A1">
        <w:rPr>
          <w:rFonts w:ascii="inherit" w:eastAsia="Times New Roman" w:hAnsi="inherit" w:cs="Times New Roman"/>
          <w:b/>
          <w:bCs/>
          <w:color w:val="EE1C25"/>
          <w:sz w:val="24"/>
          <w:szCs w:val="24"/>
          <w:bdr w:val="none" w:sz="0" w:space="0" w:color="auto" w:frame="1"/>
        </w:rPr>
        <w:t>Coca-Cola</w:t>
      </w:r>
      <w:r w:rsidRPr="00D729A1">
        <w:rPr>
          <w:rFonts w:ascii="Georgia" w:eastAsia="Times New Roman" w:hAnsi="Georgia" w:cs="Times New Roman"/>
          <w:color w:val="000000"/>
          <w:sz w:val="24"/>
          <w:szCs w:val="24"/>
        </w:rPr>
        <w:t> and </w:t>
      </w:r>
      <w:r w:rsidRPr="00D729A1">
        <w:rPr>
          <w:rFonts w:ascii="inherit" w:eastAsia="Times New Roman" w:hAnsi="inherit" w:cs="Times New Roman"/>
          <w:b/>
          <w:bCs/>
          <w:color w:val="EE1C25"/>
          <w:sz w:val="24"/>
          <w:szCs w:val="24"/>
          <w:bdr w:val="none" w:sz="0" w:space="0" w:color="auto" w:frame="1"/>
        </w:rPr>
        <w:t>PepsiCo</w:t>
      </w:r>
      <w:r w:rsidRPr="00D729A1">
        <w:rPr>
          <w:rFonts w:ascii="Georgia" w:eastAsia="Times New Roman" w:hAnsi="Georgia" w:cs="Times New Roman"/>
          <w:color w:val="000000"/>
          <w:sz w:val="24"/>
          <w:szCs w:val="24"/>
        </w:rPr>
        <w:t> are presented in </w:t>
      </w:r>
      <w:hyperlink r:id="rId5" w:history="1">
        <w:r w:rsidRPr="00D729A1">
          <w:rPr>
            <w:rFonts w:ascii="inherit" w:eastAsia="Times New Roman" w:hAnsi="inherit" w:cs="Times New Roman"/>
            <w:color w:val="0000FF"/>
            <w:sz w:val="24"/>
            <w:szCs w:val="24"/>
            <w:u w:val="single"/>
            <w:bdr w:val="none" w:sz="0" w:space="0" w:color="auto" w:frame="1"/>
          </w:rPr>
          <w:t>Appendices C</w:t>
        </w:r>
      </w:hyperlink>
      <w:r w:rsidRPr="00D729A1">
        <w:rPr>
          <w:rFonts w:ascii="Georgia" w:eastAsia="Times New Roman" w:hAnsi="Georgia" w:cs="Times New Roman"/>
          <w:color w:val="000000"/>
          <w:sz w:val="24"/>
          <w:szCs w:val="24"/>
        </w:rPr>
        <w:t> and </w:t>
      </w:r>
      <w:hyperlink r:id="rId6" w:history="1">
        <w:r w:rsidRPr="00D729A1">
          <w:rPr>
            <w:rFonts w:ascii="inherit" w:eastAsia="Times New Roman" w:hAnsi="inherit" w:cs="Times New Roman"/>
            <w:color w:val="0000FF"/>
            <w:sz w:val="24"/>
            <w:szCs w:val="24"/>
            <w:u w:val="single"/>
            <w:bdr w:val="none" w:sz="0" w:space="0" w:color="auto" w:frame="1"/>
          </w:rPr>
          <w:t>D</w:t>
        </w:r>
      </w:hyperlink>
      <w:r w:rsidRPr="00D729A1">
        <w:rPr>
          <w:rFonts w:ascii="Georgia" w:eastAsia="Times New Roman" w:hAnsi="Georgia" w:cs="Times New Roman"/>
          <w:color w:val="000000"/>
          <w:sz w:val="24"/>
          <w:szCs w:val="24"/>
        </w:rPr>
        <w:t>, respectively. The companies' complete annual reports, including the notes to the financial statements, are available online.</w:t>
      </w:r>
    </w:p>
    <w:p w:rsidR="00D729A1" w:rsidRPr="00D729A1" w:rsidRDefault="00D729A1" w:rsidP="00D729A1">
      <w:pPr>
        <w:spacing w:before="120" w:after="0" w:line="240" w:lineRule="auto"/>
        <w:textAlignment w:val="baseline"/>
        <w:outlineLvl w:val="4"/>
        <w:rPr>
          <w:rFonts w:ascii="Arial" w:eastAsia="Times New Roman" w:hAnsi="Arial" w:cs="Arial"/>
          <w:b/>
          <w:bCs/>
          <w:color w:val="008DD4"/>
          <w:sz w:val="24"/>
          <w:szCs w:val="24"/>
        </w:rPr>
      </w:pPr>
      <w:r w:rsidRPr="00D729A1">
        <w:rPr>
          <w:rFonts w:ascii="Arial" w:eastAsia="Times New Roman" w:hAnsi="Arial" w:cs="Arial"/>
          <w:b/>
          <w:bCs/>
          <w:color w:val="008DD4"/>
          <w:sz w:val="24"/>
          <w:szCs w:val="24"/>
        </w:rPr>
        <w:t>Instructions</w:t>
      </w:r>
    </w:p>
    <w:p w:rsidR="00D729A1" w:rsidRPr="00D729A1" w:rsidRDefault="00D729A1" w:rsidP="00D729A1">
      <w:pPr>
        <w:spacing w:before="120" w:after="120" w:line="240" w:lineRule="auto"/>
        <w:textAlignment w:val="baseline"/>
        <w:rPr>
          <w:rFonts w:ascii="Georgia" w:eastAsia="Times New Roman" w:hAnsi="Georgia" w:cs="Times New Roman"/>
          <w:color w:val="000000"/>
          <w:sz w:val="24"/>
          <w:szCs w:val="24"/>
        </w:rPr>
      </w:pPr>
      <w:r w:rsidRPr="00D729A1">
        <w:rPr>
          <w:rFonts w:ascii="Georgia" w:eastAsia="Times New Roman" w:hAnsi="Georgia" w:cs="Times New Roman"/>
          <w:color w:val="000000"/>
          <w:sz w:val="24"/>
          <w:szCs w:val="24"/>
        </w:rPr>
        <w:t>Use the companies' financial information to answer the following questions.</w:t>
      </w:r>
    </w:p>
    <w:p w:rsidR="00D729A1" w:rsidRP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r w:rsidRPr="00D729A1">
        <w:rPr>
          <w:rFonts w:ascii="inherit" w:eastAsia="Times New Roman" w:hAnsi="inherit" w:cs="Times New Roman"/>
          <w:b/>
          <w:bCs/>
          <w:color w:val="000000"/>
          <w:sz w:val="24"/>
          <w:szCs w:val="24"/>
          <w:bdr w:val="none" w:sz="0" w:space="0" w:color="auto" w:frame="1"/>
        </w:rPr>
        <w:t>(a)</w:t>
      </w:r>
      <w:r w:rsidRPr="00D729A1">
        <w:rPr>
          <w:rFonts w:ascii="Georgia" w:eastAsia="Times New Roman" w:hAnsi="Georgia" w:cs="Times New Roman"/>
          <w:color w:val="000000"/>
          <w:sz w:val="24"/>
          <w:szCs w:val="24"/>
        </w:rPr>
        <w:t>What is the par or stated value of Coca-Cola's and PepsiCo's common or capital stock?</w:t>
      </w:r>
    </w:p>
    <w:p w:rsidR="00D729A1" w:rsidRP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r w:rsidRPr="00D729A1">
        <w:rPr>
          <w:rFonts w:ascii="inherit" w:eastAsia="Times New Roman" w:hAnsi="inherit" w:cs="Times New Roman"/>
          <w:b/>
          <w:bCs/>
          <w:color w:val="000000"/>
          <w:sz w:val="24"/>
          <w:szCs w:val="24"/>
          <w:bdr w:val="none" w:sz="0" w:space="0" w:color="auto" w:frame="1"/>
        </w:rPr>
        <w:t>(b)</w:t>
      </w:r>
      <w:r w:rsidRPr="00D729A1">
        <w:rPr>
          <w:rFonts w:ascii="Georgia" w:eastAsia="Times New Roman" w:hAnsi="Georgia" w:cs="Times New Roman"/>
          <w:color w:val="000000"/>
          <w:sz w:val="24"/>
          <w:szCs w:val="24"/>
        </w:rPr>
        <w:t>What percentage of authorized shares was issued by Coca-Cola at December 31, 2014, and by PepsiCo at December 31, 2014?</w:t>
      </w:r>
    </w:p>
    <w:p w:rsidR="00D729A1" w:rsidRP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r w:rsidRPr="00D729A1">
        <w:rPr>
          <w:rFonts w:ascii="inherit" w:eastAsia="Times New Roman" w:hAnsi="inherit" w:cs="Times New Roman"/>
          <w:b/>
          <w:bCs/>
          <w:color w:val="000000"/>
          <w:sz w:val="24"/>
          <w:szCs w:val="24"/>
          <w:bdr w:val="none" w:sz="0" w:space="0" w:color="auto" w:frame="1"/>
        </w:rPr>
        <w:t>(c)</w:t>
      </w:r>
      <w:r w:rsidRPr="00D729A1">
        <w:rPr>
          <w:rFonts w:ascii="Georgia" w:eastAsia="Times New Roman" w:hAnsi="Georgia" w:cs="Times New Roman"/>
          <w:color w:val="000000"/>
          <w:sz w:val="24"/>
          <w:szCs w:val="24"/>
        </w:rPr>
        <w:t>How many shares are held as treasury stock by Coca-Cola at December 31, 2014, and by PepsiCo at December 31, 2014?</w:t>
      </w:r>
    </w:p>
    <w:p w:rsidR="00D729A1" w:rsidRP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r w:rsidRPr="00D729A1">
        <w:rPr>
          <w:rFonts w:ascii="inherit" w:eastAsia="Times New Roman" w:hAnsi="inherit" w:cs="Times New Roman"/>
          <w:b/>
          <w:bCs/>
          <w:color w:val="000000"/>
          <w:sz w:val="24"/>
          <w:szCs w:val="24"/>
          <w:bdr w:val="none" w:sz="0" w:space="0" w:color="auto" w:frame="1"/>
        </w:rPr>
        <w:t>(d)</w:t>
      </w:r>
      <w:r w:rsidRPr="00D729A1">
        <w:rPr>
          <w:rFonts w:ascii="Georgia" w:eastAsia="Times New Roman" w:hAnsi="Georgia" w:cs="Times New Roman"/>
          <w:color w:val="000000"/>
          <w:sz w:val="24"/>
          <w:szCs w:val="24"/>
        </w:rPr>
        <w:t>How many Coca-Cola common shares are outstanding at December 31, 2014? How many PepsiCo shares of capital stock are outstanding at December 31, 2014?</w:t>
      </w:r>
    </w:p>
    <w:p w:rsidR="00D729A1" w:rsidRP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r w:rsidRPr="00D729A1">
        <w:rPr>
          <w:rFonts w:ascii="inherit" w:eastAsia="Times New Roman" w:hAnsi="inherit" w:cs="Times New Roman"/>
          <w:b/>
          <w:bCs/>
          <w:color w:val="000000"/>
          <w:sz w:val="24"/>
          <w:szCs w:val="24"/>
          <w:bdr w:val="none" w:sz="0" w:space="0" w:color="auto" w:frame="1"/>
        </w:rPr>
        <w:t>(e)</w:t>
      </w:r>
      <w:r w:rsidRPr="00D729A1">
        <w:rPr>
          <w:rFonts w:ascii="Georgia" w:eastAsia="Times New Roman" w:hAnsi="Georgia" w:cs="Times New Roman"/>
          <w:color w:val="000000"/>
          <w:sz w:val="24"/>
          <w:szCs w:val="24"/>
        </w:rPr>
        <w:t>What amounts of cash dividends per share were declared by Coca-Cola and PepsiCo in 2014? What were the dollar amount effects of the cash dividends on each company's stockholders' equity?</w:t>
      </w:r>
    </w:p>
    <w:p w:rsidR="00D729A1" w:rsidRP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r w:rsidRPr="00D729A1">
        <w:rPr>
          <w:rFonts w:ascii="inherit" w:eastAsia="Times New Roman" w:hAnsi="inherit" w:cs="Times New Roman"/>
          <w:b/>
          <w:bCs/>
          <w:color w:val="000000"/>
          <w:sz w:val="24"/>
          <w:szCs w:val="24"/>
          <w:bdr w:val="none" w:sz="0" w:space="0" w:color="auto" w:frame="1"/>
        </w:rPr>
        <w:t>(f)</w:t>
      </w:r>
      <w:r w:rsidRPr="00D729A1">
        <w:rPr>
          <w:rFonts w:ascii="Georgia" w:eastAsia="Times New Roman" w:hAnsi="Georgia" w:cs="Times New Roman"/>
          <w:color w:val="000000"/>
          <w:sz w:val="24"/>
          <w:szCs w:val="24"/>
        </w:rPr>
        <w:t>What are Coca-Cola's and PepsiCo's return on common/capital stockholders' equity for 2014 and 2013? Which company gets the higher return on the equity of its shareholders?</w:t>
      </w:r>
    </w:p>
    <w:p w:rsidR="00D729A1" w:rsidRP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r w:rsidRPr="00D729A1">
        <w:rPr>
          <w:rFonts w:ascii="inherit" w:eastAsia="Times New Roman" w:hAnsi="inherit" w:cs="Times New Roman"/>
          <w:b/>
          <w:bCs/>
          <w:color w:val="000000"/>
          <w:sz w:val="24"/>
          <w:szCs w:val="24"/>
          <w:bdr w:val="none" w:sz="0" w:space="0" w:color="auto" w:frame="1"/>
        </w:rPr>
        <w:t>(g)</w:t>
      </w:r>
      <w:r w:rsidRPr="00D729A1">
        <w:rPr>
          <w:rFonts w:ascii="Georgia" w:eastAsia="Times New Roman" w:hAnsi="Georgia" w:cs="Times New Roman"/>
          <w:color w:val="000000"/>
          <w:sz w:val="24"/>
          <w:szCs w:val="24"/>
        </w:rPr>
        <w:t>What are Coca-Cola's and PepsiCo's payout ratios for 2014?</w:t>
      </w: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r w:rsidRPr="00D729A1">
        <w:rPr>
          <w:rFonts w:ascii="inherit" w:eastAsia="Times New Roman" w:hAnsi="inherit" w:cs="Times New Roman"/>
          <w:b/>
          <w:bCs/>
          <w:color w:val="000000"/>
          <w:sz w:val="24"/>
          <w:szCs w:val="24"/>
          <w:bdr w:val="none" w:sz="0" w:space="0" w:color="auto" w:frame="1"/>
        </w:rPr>
        <w:t>(h)</w:t>
      </w:r>
      <w:r w:rsidRPr="00D729A1">
        <w:rPr>
          <w:rFonts w:ascii="Georgia" w:eastAsia="Times New Roman" w:hAnsi="Georgia" w:cs="Times New Roman"/>
          <w:color w:val="000000"/>
          <w:sz w:val="24"/>
          <w:szCs w:val="24"/>
        </w:rPr>
        <w:t>What was the market price range (high/low) for Coca-Cola's common stock and PepsiCo's capital stock during the fourth quarter of 2014? Which company's (Coca-Cola's or PepsiCo's) stock price increased more (%) during 2014?</w:t>
      </w:r>
    </w:p>
    <w:p w:rsidR="00D729A1" w:rsidRDefault="00D729A1" w:rsidP="00D729A1">
      <w:pPr>
        <w:spacing w:after="0" w:line="240" w:lineRule="auto"/>
        <w:ind w:left="480" w:firstLine="192"/>
        <w:jc w:val="both"/>
        <w:textAlignment w:val="baseline"/>
        <w:rPr>
          <w:rFonts w:ascii="Georgia" w:eastAsia="Times New Roman" w:hAnsi="Georgia" w:cs="Times New Roman"/>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sz w:val="24"/>
          <w:szCs w:val="24"/>
        </w:rPr>
      </w:pPr>
    </w:p>
    <w:p w:rsidR="00D729A1" w:rsidRDefault="00D729A1" w:rsidP="00D729A1">
      <w:pPr>
        <w:pStyle w:val="Heading1"/>
        <w:spacing w:before="0"/>
        <w:textAlignment w:val="baseline"/>
        <w:rPr>
          <w:rFonts w:ascii="Arial" w:hAnsi="Arial" w:cs="Arial"/>
          <w:color w:val="004176"/>
          <w:sz w:val="36"/>
          <w:szCs w:val="36"/>
        </w:rPr>
      </w:pPr>
      <w:r>
        <w:rPr>
          <w:rStyle w:val="chapternumber"/>
          <w:rFonts w:ascii="inherit" w:hAnsi="inherit" w:cs="Arial"/>
          <w:color w:val="007948"/>
          <w:sz w:val="36"/>
          <w:szCs w:val="36"/>
          <w:bdr w:val="none" w:sz="0" w:space="0" w:color="auto" w:frame="1"/>
        </w:rPr>
        <w:t>C</w:t>
      </w:r>
      <w:r>
        <w:rPr>
          <w:rStyle w:val="apple-converted-space"/>
          <w:rFonts w:ascii="Arial" w:hAnsi="Arial" w:cs="Arial"/>
          <w:color w:val="004176"/>
          <w:sz w:val="36"/>
          <w:szCs w:val="36"/>
        </w:rPr>
        <w:t> </w:t>
      </w:r>
      <w:r>
        <w:rPr>
          <w:rStyle w:val="chaptertitle"/>
          <w:rFonts w:ascii="inherit" w:hAnsi="inherit" w:cs="Arial"/>
          <w:color w:val="004176"/>
          <w:sz w:val="36"/>
          <w:szCs w:val="36"/>
          <w:bdr w:val="none" w:sz="0" w:space="0" w:color="auto" w:frame="1"/>
        </w:rPr>
        <w:t>Specimen Financial Statements:</w:t>
      </w:r>
      <w:r>
        <w:rPr>
          <w:rStyle w:val="apple-converted-space"/>
          <w:rFonts w:ascii="inherit" w:hAnsi="inherit" w:cs="Arial"/>
          <w:color w:val="004176"/>
          <w:sz w:val="36"/>
          <w:szCs w:val="36"/>
          <w:bdr w:val="none" w:sz="0" w:space="0" w:color="auto" w:frame="1"/>
        </w:rPr>
        <w:t> </w:t>
      </w:r>
      <w:r>
        <w:rPr>
          <w:rStyle w:val="red1"/>
          <w:rFonts w:ascii="inherit" w:hAnsi="inherit" w:cs="Arial"/>
          <w:color w:val="EE1C25"/>
          <w:sz w:val="36"/>
          <w:szCs w:val="36"/>
          <w:bdr w:val="none" w:sz="0" w:space="0" w:color="auto" w:frame="1"/>
        </w:rPr>
        <w:t>The Coca-Cola Company</w:t>
      </w:r>
    </w:p>
    <w:p w:rsidR="00D729A1" w:rsidRDefault="00D729A1" w:rsidP="00D729A1">
      <w:pPr>
        <w:pStyle w:val="NormalWeb"/>
        <w:spacing w:before="0" w:beforeAutospacing="0" w:after="0" w:afterAutospacing="0"/>
        <w:textAlignment w:val="baseline"/>
        <w:rPr>
          <w:rFonts w:ascii="inherit" w:hAnsi="inherit"/>
        </w:rPr>
      </w:pPr>
      <w:r>
        <w:rPr>
          <w:rStyle w:val="red2"/>
          <w:rFonts w:ascii="inherit" w:hAnsi="inherit"/>
          <w:b/>
          <w:bCs/>
          <w:color w:val="EE1C25"/>
          <w:bdr w:val="none" w:sz="0" w:space="0" w:color="auto" w:frame="1"/>
        </w:rPr>
        <w:t>The Coca-Cola Company</w:t>
      </w:r>
      <w:r>
        <w:rPr>
          <w:rStyle w:val="apple-converted-space"/>
          <w:rFonts w:ascii="inherit" w:hAnsi="inherit"/>
        </w:rPr>
        <w:t> </w:t>
      </w:r>
      <w:r>
        <w:rPr>
          <w:rFonts w:ascii="inherit" w:hAnsi="inherit"/>
        </w:rPr>
        <w:t>is the world's largest beverage company. It owns or licenses and markets more than 500 nonalcoholic beverage brands, primarily sparkling beverages, but also a variety of still beverages such as waters, enhanced waters, juices and juice drinks, ready-to-drink teas and coffees, and energy and sports drinks. Finished beverage products bearing Coca-Cola trademarks, sold in the United States since 1886, are now available in more than 200 countries. To access Coca-Cola's complete annual report, including notes to the financial statements, follow these steps:</w:t>
      </w:r>
    </w:p>
    <w:p w:rsidR="00D729A1" w:rsidRDefault="00D729A1" w:rsidP="00D729A1">
      <w:pPr>
        <w:numPr>
          <w:ilvl w:val="0"/>
          <w:numId w:val="1"/>
        </w:numPr>
        <w:spacing w:after="0" w:line="240" w:lineRule="auto"/>
        <w:textAlignment w:val="baseline"/>
        <w:rPr>
          <w:rFonts w:ascii="inherit" w:hAnsi="inherit"/>
        </w:rPr>
      </w:pPr>
      <w:r>
        <w:rPr>
          <w:rFonts w:ascii="inherit" w:hAnsi="inherit"/>
        </w:rPr>
        <w:t>Go to</w:t>
      </w:r>
      <w:r>
        <w:rPr>
          <w:rStyle w:val="apple-converted-space"/>
          <w:rFonts w:ascii="inherit" w:hAnsi="inherit"/>
        </w:rPr>
        <w:t> </w:t>
      </w:r>
      <w:hyperlink r:id="rId7" w:history="1">
        <w:r>
          <w:rPr>
            <w:rStyle w:val="Hyperlink"/>
            <w:rFonts w:ascii="inherit" w:hAnsi="inherit"/>
            <w:b/>
            <w:bCs/>
            <w:bdr w:val="none" w:sz="0" w:space="0" w:color="auto" w:frame="1"/>
          </w:rPr>
          <w:t>http://www.coca-colacompany.com/investors/</w:t>
        </w:r>
      </w:hyperlink>
      <w:r>
        <w:rPr>
          <w:rFonts w:ascii="inherit" w:hAnsi="inherit"/>
        </w:rPr>
        <w:t>.</w:t>
      </w:r>
    </w:p>
    <w:p w:rsidR="00D729A1" w:rsidRDefault="00D729A1" w:rsidP="00D729A1">
      <w:pPr>
        <w:numPr>
          <w:ilvl w:val="0"/>
          <w:numId w:val="1"/>
        </w:numPr>
        <w:spacing w:before="120" w:after="0" w:line="240" w:lineRule="auto"/>
        <w:textAlignment w:val="baseline"/>
        <w:rPr>
          <w:rFonts w:ascii="inherit" w:hAnsi="inherit"/>
        </w:rPr>
      </w:pPr>
      <w:r>
        <w:rPr>
          <w:rFonts w:ascii="inherit" w:hAnsi="inherit"/>
        </w:rPr>
        <w:t>Select Financial Reports and Information and then click on 2014 Annual Report on Form 10-K.</w:t>
      </w:r>
    </w:p>
    <w:p w:rsidR="00D729A1" w:rsidRDefault="00D729A1" w:rsidP="00D729A1">
      <w:pPr>
        <w:numPr>
          <w:ilvl w:val="0"/>
          <w:numId w:val="1"/>
        </w:numPr>
        <w:spacing w:before="120" w:after="0" w:line="240" w:lineRule="auto"/>
        <w:textAlignment w:val="baseline"/>
        <w:rPr>
          <w:rFonts w:ascii="inherit" w:hAnsi="inherit"/>
        </w:rPr>
      </w:pPr>
      <w:r>
        <w:rPr>
          <w:rFonts w:ascii="inherit" w:hAnsi="inherit"/>
        </w:rPr>
        <w:t>The Notes to Consolidated Financial Statements begin on page 78.</w:t>
      </w:r>
    </w:p>
    <w:tbl>
      <w:tblPr>
        <w:tblW w:w="0" w:type="auto"/>
        <w:tblCellMar>
          <w:left w:w="0" w:type="dxa"/>
          <w:right w:w="0" w:type="dxa"/>
        </w:tblCellMar>
        <w:tblLook w:val="04A0" w:firstRow="1" w:lastRow="0" w:firstColumn="1" w:lastColumn="0" w:noHBand="0" w:noVBand="1"/>
      </w:tblPr>
      <w:tblGrid>
        <w:gridCol w:w="6545"/>
        <w:gridCol w:w="975"/>
        <w:gridCol w:w="912"/>
        <w:gridCol w:w="912"/>
      </w:tblGrid>
      <w:tr w:rsidR="00D729A1" w:rsidTr="00D729A1">
        <w:trPr>
          <w:tblHeader/>
        </w:trPr>
        <w:tc>
          <w:tcPr>
            <w:tcW w:w="0" w:type="auto"/>
            <w:gridSpan w:val="4"/>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Style w:val="center"/>
                <w:rFonts w:ascii="inherit" w:hAnsi="inherit"/>
                <w:bdr w:val="none" w:sz="0" w:space="0" w:color="auto" w:frame="1"/>
              </w:rPr>
              <w:t>THE COCA-COLA COMPANY AND SUBSIDIARIES CONSOLIDATED STATEMENTS OF INCOME</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Year Ended December 31,</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2014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2013</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2012</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lastRenderedPageBreak/>
              <w:t>(In millions except per share data)</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NET OPERATING REVENUES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w:t>
            </w:r>
            <w:r>
              <w:rPr>
                <w:rFonts w:ascii="inherit" w:hAnsi="inherit"/>
                <w:b/>
                <w:bCs/>
              </w:rPr>
              <w:t> </w:t>
            </w:r>
            <w:r>
              <w:rPr>
                <w:rFonts w:ascii="inherit" w:hAnsi="inherit"/>
                <w:b/>
                <w:bCs/>
              </w:rPr>
              <w:t>45,998</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46,854</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48,017</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Cost of goods sold</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17,889</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18,421</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19,053</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GROSS PROFIT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28,109</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28,433</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28,964</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Selling, general and administrative expenses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17,218</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17,310</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17,738</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Other operating charges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1,183</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895</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447</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OPERATING INCOME</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9,708</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10,228</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10,779</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Interest income</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594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534</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471</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Interest expense</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483</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463</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397</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Equity income (loss) — net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769</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602</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819</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Other income (loss) — net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1,263</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576</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137</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INCOME BEFORE INCOME TAXES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9,325</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11,477</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11,809</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Income taxes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2,201</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2,851</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2,723</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CONSOLIDATED NET INCOME</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7,124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8,626</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9,086</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Less: Net income attributable to noncontrolling interests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26</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42</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67</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NET INCOME ATTRIBUTABLE TO SHAREOWNERS OF THE COCA-COLA COMPANY</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w:t>
            </w:r>
            <w:r>
              <w:rPr>
                <w:rFonts w:ascii="inherit" w:hAnsi="inherit"/>
                <w:b/>
                <w:bCs/>
              </w:rPr>
              <w:t> </w:t>
            </w:r>
            <w:r>
              <w:rPr>
                <w:rFonts w:ascii="inherit" w:hAnsi="inherit"/>
                <w:b/>
                <w:bCs/>
              </w:rPr>
              <w:t> </w:t>
            </w:r>
            <w:r>
              <w:rPr>
                <w:rFonts w:ascii="inherit" w:hAnsi="inherit"/>
                <w:b/>
                <w:bCs/>
              </w:rPr>
              <w:t>7,098</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 </w:t>
            </w:r>
            <w:r>
              <w:rPr>
                <w:rFonts w:ascii="inherit" w:hAnsi="inherit"/>
              </w:rPr>
              <w:t>8,584</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 </w:t>
            </w:r>
            <w:r>
              <w:rPr>
                <w:rFonts w:ascii="inherit" w:hAnsi="inherit"/>
              </w:rPr>
              <w:t>9,019</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BASIC NET INCOME PER SHARE</w:t>
            </w:r>
            <w:hyperlink r:id="rId8" w:anchor="a03-note-0001" w:history="1">
              <w:r>
                <w:rPr>
                  <w:rStyle w:val="Hyperlink"/>
                  <w:rFonts w:ascii="inherit" w:hAnsi="inherit"/>
                  <w:sz w:val="20"/>
                  <w:szCs w:val="20"/>
                  <w:bdr w:val="none" w:sz="0" w:space="0" w:color="auto" w:frame="1"/>
                </w:rPr>
                <w:t>1</w:t>
              </w:r>
            </w:hyperlink>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w:t>
            </w:r>
            <w:r>
              <w:rPr>
                <w:rFonts w:ascii="inherit" w:hAnsi="inherit"/>
                <w:b/>
                <w:bCs/>
              </w:rPr>
              <w:t> </w:t>
            </w:r>
            <w:r>
              <w:rPr>
                <w:rFonts w:ascii="inherit" w:hAnsi="inherit"/>
                <w:b/>
                <w:bCs/>
              </w:rPr>
              <w:t> </w:t>
            </w:r>
            <w:r>
              <w:rPr>
                <w:rFonts w:ascii="inherit" w:hAnsi="inherit"/>
                <w:b/>
                <w:bCs/>
              </w:rPr>
              <w:t> </w:t>
            </w:r>
            <w:r>
              <w:rPr>
                <w:rFonts w:ascii="inherit" w:hAnsi="inherit"/>
                <w:b/>
                <w:bCs/>
              </w:rPr>
              <w:t>1.62</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 </w:t>
            </w:r>
            <w:r>
              <w:rPr>
                <w:rFonts w:ascii="inherit" w:hAnsi="inherit"/>
              </w:rPr>
              <w:t> </w:t>
            </w:r>
            <w:r>
              <w:rPr>
                <w:rFonts w:ascii="inherit" w:hAnsi="inherit"/>
              </w:rPr>
              <w:t>1.94</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 </w:t>
            </w:r>
            <w:r>
              <w:rPr>
                <w:rFonts w:ascii="inherit" w:hAnsi="inherit"/>
              </w:rPr>
              <w:t> </w:t>
            </w:r>
            <w:r>
              <w:rPr>
                <w:rFonts w:ascii="inherit" w:hAnsi="inherit"/>
              </w:rPr>
              <w:t>2.00</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DILUTED NET INCOME PER SHARE</w:t>
            </w:r>
            <w:hyperlink r:id="rId9" w:anchor="a03-note-0001" w:history="1">
              <w:r>
                <w:rPr>
                  <w:rStyle w:val="Hyperlink"/>
                  <w:rFonts w:ascii="inherit" w:hAnsi="inherit"/>
                  <w:bdr w:val="none" w:sz="0" w:space="0" w:color="auto" w:frame="1"/>
                </w:rPr>
                <w:t>1</w:t>
              </w:r>
            </w:hyperlink>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w:t>
            </w:r>
            <w:r>
              <w:rPr>
                <w:rFonts w:ascii="inherit" w:hAnsi="inherit"/>
                <w:b/>
                <w:bCs/>
              </w:rPr>
              <w:t> </w:t>
            </w:r>
            <w:r>
              <w:rPr>
                <w:rFonts w:ascii="inherit" w:hAnsi="inherit"/>
                <w:b/>
                <w:bCs/>
              </w:rPr>
              <w:t> </w:t>
            </w:r>
            <w:r>
              <w:rPr>
                <w:rFonts w:ascii="inherit" w:hAnsi="inherit"/>
                <w:b/>
                <w:bCs/>
              </w:rPr>
              <w:t> </w:t>
            </w:r>
            <w:r>
              <w:rPr>
                <w:rFonts w:ascii="inherit" w:hAnsi="inherit"/>
                <w:b/>
                <w:bCs/>
              </w:rPr>
              <w:t>1.60</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 </w:t>
            </w:r>
            <w:r>
              <w:rPr>
                <w:rFonts w:ascii="inherit" w:hAnsi="inherit"/>
              </w:rPr>
              <w:t> </w:t>
            </w:r>
            <w:r>
              <w:rPr>
                <w:rFonts w:ascii="inherit" w:hAnsi="inherit"/>
              </w:rPr>
              <w:t>1.90</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 </w:t>
            </w:r>
            <w:r>
              <w:rPr>
                <w:rFonts w:ascii="inherit" w:hAnsi="inherit"/>
              </w:rPr>
              <w:t> </w:t>
            </w:r>
            <w:r>
              <w:rPr>
                <w:rFonts w:ascii="inherit" w:hAnsi="inherit"/>
              </w:rPr>
              <w:t>1.97</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AVERAGE SHARES OUTSTANDING</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4,387</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4,434</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4,504</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Effect of dilutive securities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63</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75</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80</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lastRenderedPageBreak/>
              <w:t>AVERAGE SHARES OUTSTANDING ASSUMING DILUTION</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4,450</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4,509</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4,584</w:t>
            </w:r>
          </w:p>
        </w:tc>
      </w:tr>
    </w:tbl>
    <w:p w:rsidR="00D729A1" w:rsidRDefault="00D729A1" w:rsidP="00D729A1">
      <w:pPr>
        <w:pStyle w:val="tablefootnote"/>
        <w:spacing w:before="0" w:beforeAutospacing="0" w:after="0" w:afterAutospacing="0"/>
        <w:ind w:firstLine="240"/>
        <w:textAlignment w:val="baseline"/>
        <w:rPr>
          <w:rFonts w:ascii="inherit" w:hAnsi="inherit"/>
          <w:sz w:val="22"/>
          <w:szCs w:val="22"/>
        </w:rPr>
      </w:pPr>
      <w:r>
        <w:rPr>
          <w:rFonts w:ascii="inherit" w:hAnsi="inherit"/>
          <w:sz w:val="19"/>
          <w:szCs w:val="19"/>
          <w:bdr w:val="none" w:sz="0" w:space="0" w:color="auto" w:frame="1"/>
          <w:vertAlign w:val="superscript"/>
        </w:rPr>
        <w:t>1</w:t>
      </w:r>
      <w:r>
        <w:rPr>
          <w:rFonts w:ascii="inherit" w:hAnsi="inherit"/>
          <w:sz w:val="22"/>
          <w:szCs w:val="22"/>
        </w:rPr>
        <w:t>Calculated based on net income attributable to shareowners of The Coca-Cola Company.</w:t>
      </w:r>
    </w:p>
    <w:tbl>
      <w:tblPr>
        <w:tblW w:w="0" w:type="auto"/>
        <w:tblCellMar>
          <w:left w:w="0" w:type="dxa"/>
          <w:right w:w="0" w:type="dxa"/>
        </w:tblCellMar>
        <w:tblLook w:val="04A0" w:firstRow="1" w:lastRow="0" w:firstColumn="1" w:lastColumn="0" w:noHBand="0" w:noVBand="1"/>
      </w:tblPr>
      <w:tblGrid>
        <w:gridCol w:w="6896"/>
        <w:gridCol w:w="868"/>
        <w:gridCol w:w="823"/>
        <w:gridCol w:w="757"/>
      </w:tblGrid>
      <w:tr w:rsidR="00D729A1" w:rsidTr="00D729A1">
        <w:trPr>
          <w:tblHeader/>
        </w:trPr>
        <w:tc>
          <w:tcPr>
            <w:tcW w:w="0" w:type="auto"/>
            <w:gridSpan w:val="4"/>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sz w:val="24"/>
                <w:szCs w:val="24"/>
              </w:rPr>
            </w:pPr>
            <w:r>
              <w:rPr>
                <w:rStyle w:val="center"/>
                <w:rFonts w:ascii="inherit" w:hAnsi="inherit"/>
                <w:bdr w:val="none" w:sz="0" w:space="0" w:color="auto" w:frame="1"/>
              </w:rPr>
              <w:t>THE COCA-COLA COMPANY AND SUBSIDIARIES CONSOLIDATED STATEMENTS OF COMPREHENSIVE INCOME</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Year Ended December 31,</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2014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2013</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2012</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(In millions)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CONSOLIDATED NET INCOME</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w:t>
            </w:r>
            <w:r>
              <w:rPr>
                <w:rFonts w:ascii="inherit" w:hAnsi="inherit"/>
                <w:b/>
                <w:bCs/>
              </w:rPr>
              <w:t> </w:t>
            </w:r>
            <w:r>
              <w:rPr>
                <w:rFonts w:ascii="inherit" w:hAnsi="inherit"/>
                <w:b/>
                <w:bCs/>
              </w:rPr>
              <w:t>7,124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8,626</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9,086</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Other comprehensive income:</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Net foreign currency translation adjustment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2,382</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(1,187)</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(182)</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Net gain (loss) on derivatives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357</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151</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99</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Net unrealized gain (loss) on available-for-sale securities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714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(80)</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178</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Net change in pension and other benefit liabilities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1,039</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1,066</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(668)</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TOTAL COMPREHENSIVE INCOME</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4,774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8,576</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8,513</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Less: Comprehensive income (loss) attributable to noncontrolling interests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21</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39</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105</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TOTAL COMPREHENSIVE INCOME ATTRIBUTABLE TO SHAREOWNERS OF THE COCA-COLA COMPANY</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w:t>
            </w:r>
            <w:r>
              <w:rPr>
                <w:rFonts w:ascii="inherit" w:hAnsi="inherit"/>
                <w:b/>
                <w:bCs/>
              </w:rPr>
              <w:t> </w:t>
            </w:r>
            <w:r>
              <w:rPr>
                <w:rFonts w:ascii="inherit" w:hAnsi="inherit"/>
                <w:b/>
                <w:bCs/>
              </w:rPr>
              <w:t>4,753</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8,537</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8,408</w:t>
            </w:r>
            <w:r>
              <w:rPr>
                <w:rFonts w:ascii="inherit" w:hAnsi="inherit"/>
              </w:rPr>
              <w:t> </w:t>
            </w:r>
          </w:p>
        </w:tc>
      </w:tr>
    </w:tbl>
    <w:p w:rsidR="00D729A1" w:rsidRDefault="00D729A1" w:rsidP="00D729A1">
      <w:pPr>
        <w:rPr>
          <w:vanish/>
        </w:rPr>
      </w:pPr>
    </w:p>
    <w:tbl>
      <w:tblPr>
        <w:tblW w:w="0" w:type="auto"/>
        <w:tblCellMar>
          <w:left w:w="0" w:type="dxa"/>
          <w:right w:w="0" w:type="dxa"/>
        </w:tblCellMar>
        <w:tblLook w:val="04A0" w:firstRow="1" w:lastRow="0" w:firstColumn="1" w:lastColumn="0" w:noHBand="0" w:noVBand="1"/>
      </w:tblPr>
      <w:tblGrid>
        <w:gridCol w:w="7356"/>
        <w:gridCol w:w="1022"/>
        <w:gridCol w:w="966"/>
      </w:tblGrid>
      <w:tr w:rsidR="00D729A1" w:rsidTr="00D729A1">
        <w:trPr>
          <w:tblHeader/>
        </w:trPr>
        <w:tc>
          <w:tcPr>
            <w:tcW w:w="0" w:type="auto"/>
            <w:gridSpan w:val="3"/>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Style w:val="center"/>
                <w:rFonts w:ascii="inherit" w:hAnsi="inherit"/>
                <w:bdr w:val="none" w:sz="0" w:space="0" w:color="auto" w:frame="1"/>
              </w:rPr>
              <w:t>THE COCA-COLA COMPANY AND SUBSIDIARIES CONSOLIDATED BALANCE SHEETS</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December 31,</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2014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2013</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(In millions except par value)</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ASSETS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CURRENT ASSETS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Cash and cash equivalents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w:t>
            </w:r>
            <w:r>
              <w:rPr>
                <w:rFonts w:ascii="inherit" w:hAnsi="inherit"/>
                <w:b/>
                <w:bCs/>
              </w:rPr>
              <w:t> </w:t>
            </w:r>
            <w:r>
              <w:rPr>
                <w:rFonts w:ascii="inherit" w:hAnsi="inherit"/>
                <w:b/>
                <w:bCs/>
              </w:rPr>
              <w:t> </w:t>
            </w:r>
            <w:r>
              <w:rPr>
                <w:rFonts w:ascii="inherit" w:hAnsi="inherit"/>
                <w:b/>
                <w:bCs/>
              </w:rPr>
              <w:t>8,958</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10,414</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Short-term investments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9,052</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6,707</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lastRenderedPageBreak/>
              <w:t>  TOTAL CASH, CASH EQUIVALENTS AND SHORT-TERM INVESTMENTS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18,010</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17,121</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Marketable securities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3,665</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3,147</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Trade accounts receivable, less allowances of $331 and $61, respectively</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4,466</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4,873</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Inventories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3,100</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3,277</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Prepaid expenses and other assets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3,066</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2,886</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Assets held for sale</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679</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TOTAL CURRENT ASSETS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32,986</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31,304</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EQUITY METHOD INVESTMENTS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9,947</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10,393</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OTHER INVESTMENTS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3,678</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1,119</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OTHER ASSETS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4,407</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4,661</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PROPERTY, PLANT AND EQUIPMENT — net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14,633</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14,967</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TRADEMARKS WITH INDEFINITE LIVES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6,533</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6,744</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BOTTLERS' FRANCHISE RIGHTS WITH INDEFINITE LIVES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6,689</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7,415</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GOODWILL</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12,100</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12,312</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OTHER INTANGIBLE ASSETS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1,050</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1,140</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TOTAL ASSETS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w:t>
            </w:r>
            <w:r>
              <w:rPr>
                <w:rFonts w:ascii="inherit" w:hAnsi="inherit"/>
                <w:b/>
                <w:bCs/>
              </w:rPr>
              <w:t> </w:t>
            </w:r>
            <w:r>
              <w:rPr>
                <w:rFonts w:ascii="inherit" w:hAnsi="inherit"/>
                <w:b/>
                <w:bCs/>
              </w:rPr>
              <w:t>92,023</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90,055</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LIABILITIES AND EQUITY</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CURRENT LIABILITIES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Accounts payable and accrued expenses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w:t>
            </w:r>
            <w:r>
              <w:rPr>
                <w:rFonts w:ascii="inherit" w:hAnsi="inherit"/>
                <w:b/>
                <w:bCs/>
              </w:rPr>
              <w:t> </w:t>
            </w:r>
            <w:r>
              <w:rPr>
                <w:rFonts w:ascii="inherit" w:hAnsi="inherit"/>
                <w:b/>
                <w:bCs/>
              </w:rPr>
              <w:t> </w:t>
            </w:r>
            <w:r>
              <w:rPr>
                <w:rFonts w:ascii="inherit" w:hAnsi="inherit"/>
                <w:b/>
                <w:bCs/>
              </w:rPr>
              <w:t>9,234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 </w:t>
            </w:r>
            <w:r>
              <w:rPr>
                <w:rFonts w:ascii="inherit" w:hAnsi="inherit"/>
              </w:rPr>
              <w:t>9,577</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Loans and notes payable</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19,130</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16,901</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Current maturities of long-term debt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3,552</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1,024</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Accrued income taxes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400</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309</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lastRenderedPageBreak/>
              <w:t>    Liabilities held for sale</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58</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TOTAL CURRENT LIABILITIES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32,374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27,811</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LONG-TERM DEBT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19,063</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19,154</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OTHER LIABILITIES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4,389</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3,498</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DEFERRED INCOME TAXES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5,636</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6,152</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THE COCA-COLA COMPANY SHAREOWNERS' EQUITY</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Common stock, $0.25 par value; Authorized — 11,200 shares;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Issued — 7,040 and 7,040 shares, respectively</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1,760</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1,760</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Capital surplus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13,154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12,276</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Reinvested earnings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63,408</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61,660</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Accumulated other comprehensive income (loss)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5,777</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(3,432)</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Treasury stock, at cost — 2,674 and 2,638 shares, respectively</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42,225</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(39,091)</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EQUITY ATTRIBUTABLE TO SHAREOWNERS OF THE COCA-COLA COMPANY</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30,320</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33,173</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EQUITY ATTRIBUTABLE TO NONCONTROLLING INTERESTS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241</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267</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TOTAL EQUITY</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30,561</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33,440</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TOTAL LIABILITIES AND EQUITY</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w:t>
            </w:r>
            <w:r>
              <w:rPr>
                <w:rFonts w:ascii="inherit" w:hAnsi="inherit"/>
                <w:b/>
                <w:bCs/>
              </w:rPr>
              <w:t> </w:t>
            </w:r>
            <w:r>
              <w:rPr>
                <w:rFonts w:ascii="inherit" w:hAnsi="inherit"/>
                <w:b/>
                <w:bCs/>
              </w:rPr>
              <w:t>92,023</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90,055</w:t>
            </w:r>
            <w:r>
              <w:rPr>
                <w:rFonts w:ascii="inherit" w:hAnsi="inherit"/>
              </w:rPr>
              <w:t> </w:t>
            </w:r>
          </w:p>
        </w:tc>
      </w:tr>
    </w:tbl>
    <w:p w:rsidR="00D729A1" w:rsidRDefault="00D729A1" w:rsidP="00D729A1">
      <w:pPr>
        <w:rPr>
          <w:vanish/>
        </w:rPr>
      </w:pPr>
    </w:p>
    <w:tbl>
      <w:tblPr>
        <w:tblW w:w="0" w:type="auto"/>
        <w:tblCellMar>
          <w:left w:w="0" w:type="dxa"/>
          <w:right w:w="0" w:type="dxa"/>
        </w:tblCellMar>
        <w:tblLook w:val="04A0" w:firstRow="1" w:lastRow="0" w:firstColumn="1" w:lastColumn="0" w:noHBand="0" w:noVBand="1"/>
      </w:tblPr>
      <w:tblGrid>
        <w:gridCol w:w="6471"/>
        <w:gridCol w:w="987"/>
        <w:gridCol w:w="947"/>
        <w:gridCol w:w="939"/>
      </w:tblGrid>
      <w:tr w:rsidR="00D729A1" w:rsidTr="00D729A1">
        <w:trPr>
          <w:tblHeader/>
        </w:trPr>
        <w:tc>
          <w:tcPr>
            <w:tcW w:w="0" w:type="auto"/>
            <w:gridSpan w:val="4"/>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Style w:val="center"/>
                <w:rFonts w:ascii="inherit" w:hAnsi="inherit"/>
                <w:bdr w:val="none" w:sz="0" w:space="0" w:color="auto" w:frame="1"/>
              </w:rPr>
              <w:t>THE COCA-COLA COMPANY AND SUBSIDIARIES CONSOLIDATED STATEMENTS OF CASH FLOWS</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Year Ended December 31,</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2014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2013</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2012</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(In millions)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OPERATING ACTIVITIES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Consolidated net income</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w:t>
            </w:r>
            <w:r>
              <w:rPr>
                <w:rFonts w:ascii="inherit" w:hAnsi="inherit"/>
                <w:b/>
                <w:bCs/>
              </w:rPr>
              <w:t> </w:t>
            </w:r>
            <w:r>
              <w:rPr>
                <w:rFonts w:ascii="inherit" w:hAnsi="inherit"/>
                <w:b/>
                <w:bCs/>
              </w:rPr>
              <w:t> </w:t>
            </w:r>
            <w:r>
              <w:rPr>
                <w:rFonts w:ascii="inherit" w:hAnsi="inherit"/>
                <w:b/>
                <w:bCs/>
              </w:rPr>
              <w:t>7,124</w:t>
            </w:r>
            <w:r>
              <w:rPr>
                <w:rFonts w:ascii="inherit" w:hAnsi="inherit"/>
                <w:b/>
                <w:bCs/>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 </w:t>
            </w:r>
            <w:r>
              <w:rPr>
                <w:rFonts w:ascii="inherit" w:hAnsi="inherit"/>
              </w:rPr>
              <w:t>8,626</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 </w:t>
            </w:r>
            <w:r>
              <w:rPr>
                <w:rFonts w:ascii="inherit" w:hAnsi="inherit"/>
              </w:rPr>
              <w:t>9,086</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lastRenderedPageBreak/>
              <w:t>Depreciation and amortization</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1,976</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1,977</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1,982</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Stock-based compensation expense</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209</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227</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259</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Deferred income taxes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40</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648</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632</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Equity (income) loss — net of dividends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371</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(201)</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(426)</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Foreign currency adjustments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415</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168</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(130)</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Significant (gains) losses on sales of assets — net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831</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(670)</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(98)</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Other operating charges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761</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465</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166</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Other items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149</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234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254</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Net change in operating assets and liabilities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439</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(932)</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(1,080)</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Net cash provided by operating activities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10,615</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10,542</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10,645</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INVESTING ACTIVITIES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Purchases of investments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17,800</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(14,782)</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(14,824)</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Proceeds from disposals of investments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12,986</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12,791</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7,791</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Acquisitions of businesses, equity method investments and nonmarketable securities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389</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(353)</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(1,486)</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Proceeds from disposals of businesses, equity method investments and nonmarketable securities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148</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872</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20</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Purchases of property, plant and equipment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2,406</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(2,550)</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(2,780)</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Proceeds from disposals of property, plant and equipment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223</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111</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143</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Other investing activities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268</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(303)</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(268)</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Net cash provided by (used in) investing activities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7,506</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(4,214)</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(11,404)</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FINANCING ACTIVITIES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Issuances of debt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41,674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43,425</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42,791</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lastRenderedPageBreak/>
              <w:t>Payments of debt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36,962</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(38,714)</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(38,573)</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Issuances of stock</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1,532</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1,328</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1,489</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Purchases of stock for treasury</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4,162</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(4,832)</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(4,559)</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Dividends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5,350</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(4,969)</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(4,595)</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Other financing activities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363</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17</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100</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Net cash provided by (used in) financing activities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3,631</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(3,745)</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(3,347)</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EFFECT OF EXCHANGE RATE CHANGES ON CASH AND CASH EQUIVALENTS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934</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(611)</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(255)</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CASH AND CASH EQUIVALENTS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Net increase (decrease) during the year</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1,456</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1,972</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(4,361)</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Balance at beginning of year</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10,414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8,442</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12,803</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Balance at end of year</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w:t>
            </w:r>
            <w:r>
              <w:rPr>
                <w:rFonts w:ascii="inherit" w:hAnsi="inherit"/>
                <w:b/>
                <w:bCs/>
              </w:rPr>
              <w:t> </w:t>
            </w:r>
            <w:r>
              <w:rPr>
                <w:rFonts w:ascii="inherit" w:hAnsi="inherit"/>
                <w:b/>
                <w:bCs/>
              </w:rPr>
              <w:t> </w:t>
            </w:r>
            <w:r>
              <w:rPr>
                <w:rFonts w:ascii="inherit" w:hAnsi="inherit"/>
                <w:b/>
                <w:bCs/>
              </w:rPr>
              <w:t>8,958</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10,414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 </w:t>
            </w:r>
            <w:r>
              <w:rPr>
                <w:rFonts w:ascii="inherit" w:hAnsi="inherit"/>
              </w:rPr>
              <w:t>8,442</w:t>
            </w:r>
            <w:r>
              <w:rPr>
                <w:rFonts w:ascii="inherit" w:hAnsi="inherit"/>
              </w:rPr>
              <w:t> </w:t>
            </w:r>
          </w:p>
        </w:tc>
      </w:tr>
    </w:tbl>
    <w:p w:rsidR="00D729A1" w:rsidRDefault="00D729A1" w:rsidP="00D729A1">
      <w:pPr>
        <w:rPr>
          <w:vanish/>
        </w:rPr>
      </w:pPr>
    </w:p>
    <w:tbl>
      <w:tblPr>
        <w:tblW w:w="0" w:type="auto"/>
        <w:tblCellMar>
          <w:left w:w="0" w:type="dxa"/>
          <w:right w:w="0" w:type="dxa"/>
        </w:tblCellMar>
        <w:tblLook w:val="04A0" w:firstRow="1" w:lastRow="0" w:firstColumn="1" w:lastColumn="0" w:noHBand="0" w:noVBand="1"/>
      </w:tblPr>
      <w:tblGrid>
        <w:gridCol w:w="6476"/>
        <w:gridCol w:w="996"/>
        <w:gridCol w:w="936"/>
        <w:gridCol w:w="936"/>
      </w:tblGrid>
      <w:tr w:rsidR="00D729A1" w:rsidTr="00D729A1">
        <w:trPr>
          <w:tblHeader/>
        </w:trPr>
        <w:tc>
          <w:tcPr>
            <w:tcW w:w="0" w:type="auto"/>
            <w:gridSpan w:val="4"/>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Style w:val="center"/>
                <w:rFonts w:ascii="inherit" w:hAnsi="inherit"/>
                <w:bdr w:val="none" w:sz="0" w:space="0" w:color="auto" w:frame="1"/>
              </w:rPr>
              <w:t>THE COCA-COLA COMPANY AND SUBSIDIARIES CONSOLIDATED STATEMENTS OF SHAREOWNERS' EQUITY</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Year Ended December 31,</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2014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2013</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2012</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(In millions except per share data)</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EQUITY ATTRIBUTABLE TO SHAREOWNERS OF THE COCA-COLA COMPANY NUMBER OF COMMON SHARES OUTSTANDING</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Balance at beginning of year</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4,402</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4,469</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4,526</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Purchases of treasury stock</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98</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(121)</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(121)</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Treasury stock issued to employees related to stock compensation plans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62</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54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64</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Balance at end of year</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4,366</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4,402</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4,469</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lastRenderedPageBreak/>
              <w:t>  </w:t>
            </w:r>
            <w:r>
              <w:rPr>
                <w:rFonts w:ascii="inherit" w:hAnsi="inherit"/>
                <w:b/>
                <w:bCs/>
              </w:rPr>
              <w:t>COMMON STOCK</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w:t>
            </w:r>
            <w:r>
              <w:rPr>
                <w:rFonts w:ascii="inherit" w:hAnsi="inherit"/>
                <w:b/>
                <w:bCs/>
              </w:rPr>
              <w:t> </w:t>
            </w:r>
            <w:r>
              <w:rPr>
                <w:rFonts w:ascii="inherit" w:hAnsi="inherit"/>
                <w:b/>
                <w:bCs/>
              </w:rPr>
              <w:t> </w:t>
            </w:r>
            <w:r>
              <w:rPr>
                <w:rFonts w:ascii="inherit" w:hAnsi="inherit"/>
                <w:b/>
                <w:bCs/>
              </w:rPr>
              <w:t>1,760</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 </w:t>
            </w:r>
            <w:r>
              <w:rPr>
                <w:rFonts w:ascii="inherit" w:hAnsi="inherit"/>
              </w:rPr>
              <w:t>1,760</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 </w:t>
            </w:r>
            <w:r>
              <w:rPr>
                <w:rFonts w:ascii="inherit" w:hAnsi="inherit"/>
              </w:rPr>
              <w:t>1,760</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r>
              <w:rPr>
                <w:rFonts w:ascii="inherit" w:hAnsi="inherit"/>
                <w:b/>
                <w:bCs/>
              </w:rPr>
              <w:t>CAPITAL SURPLUS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Balance at beginning of year</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12,276</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11,379</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10,332</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Stock issued to employees related to stock compensation plans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526</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569</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640</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Tax benefit (charge) from stock compensation plans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169</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144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144</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Stock-based compensation</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209</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227</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259</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Other activities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26</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(43)</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Balance at end of year</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13,154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12,276</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11,379</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REINVESTED EARNINGS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Balance at beginning of year</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61,660</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58,045</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53,621</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Net income attributable to shareowners of The Coca-Cola Company</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7,098</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8,584</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9,019</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Dividends (per share — $1.22, $1.12 and $1.02 in 2014, 2013 and 2012, respectively)</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5,350</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(4,969)</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(4,595)</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Balance at end of year</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63,408</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61,660</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58,045</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r>
              <w:rPr>
                <w:rFonts w:ascii="inherit" w:hAnsi="inherit"/>
                <w:b/>
                <w:bCs/>
              </w:rPr>
              <w:t>ACCUMULATED OTHER COMPREHENSIVE INCOME (LOSS)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Balance at beginning of year</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3,432</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(3,385)</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(2,774)</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Net other comprehensive income (loss)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2,345</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(47)</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(611)</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Balance at end of year</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5,777</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(3,432)</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(3,385)</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r>
              <w:rPr>
                <w:rFonts w:ascii="inherit" w:hAnsi="inherit"/>
                <w:b/>
                <w:bCs/>
              </w:rPr>
              <w:t>TREASURY STOCK</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Balance at beginning of year</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39,091</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(35,009)</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(31,304)</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roofErr w:type="spellStart"/>
            <w:r>
              <w:rPr>
                <w:rFonts w:ascii="inherit" w:hAnsi="inherit"/>
              </w:rPr>
              <w:t>Sto</w:t>
            </w:r>
            <w:proofErr w:type="spellEnd"/>
          </w:p>
          <w:p w:rsidR="00D729A1" w:rsidRDefault="00D729A1">
            <w:pPr>
              <w:rPr>
                <w:rFonts w:ascii="inherit" w:hAnsi="inherit"/>
              </w:rPr>
            </w:pPr>
            <w:proofErr w:type="spellStart"/>
            <w:r>
              <w:rPr>
                <w:rFonts w:ascii="inherit" w:hAnsi="inherit"/>
              </w:rPr>
              <w:lastRenderedPageBreak/>
              <w:t>ck</w:t>
            </w:r>
            <w:proofErr w:type="spellEnd"/>
            <w:r>
              <w:rPr>
                <w:rFonts w:ascii="inherit" w:hAnsi="inherit"/>
              </w:rPr>
              <w:t xml:space="preserve"> issued to employees related to stock compensation plans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lastRenderedPageBreak/>
              <w:t>891</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745</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786</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Purchases of treasury stock</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4,025</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(4,827)</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(4,491)</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Balance at end of year</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42,225</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(39,091)</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(35,009)</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TOTAL EQUITY ATTRIBUTABLE TO SHAREOWNERS OF THE COCA-COLA COMPANY</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w:t>
            </w:r>
            <w:r>
              <w:rPr>
                <w:rFonts w:ascii="inherit" w:hAnsi="inherit"/>
                <w:b/>
                <w:bCs/>
              </w:rPr>
              <w:t> </w:t>
            </w:r>
            <w:r>
              <w:rPr>
                <w:rFonts w:ascii="inherit" w:hAnsi="inherit"/>
                <w:b/>
                <w:bCs/>
              </w:rPr>
              <w:t>30,320</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33,173</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32,790</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EQUITY ATTRIBUTABLE TO NONCONTROLLING INTERESTS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Balance at beginning of year</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w:t>
            </w:r>
            <w:r>
              <w:rPr>
                <w:rFonts w:ascii="inherit" w:hAnsi="inherit"/>
                <w:b/>
                <w:bCs/>
              </w:rPr>
              <w:t> </w:t>
            </w:r>
            <w:r>
              <w:rPr>
                <w:rFonts w:ascii="inherit" w:hAnsi="inherit"/>
                <w:b/>
                <w:bCs/>
              </w:rPr>
              <w:t> </w:t>
            </w:r>
            <w:r>
              <w:rPr>
                <w:rFonts w:ascii="inherit" w:hAnsi="inherit"/>
                <w:b/>
                <w:bCs/>
              </w:rPr>
              <w:t> </w:t>
            </w:r>
            <w:r>
              <w:rPr>
                <w:rFonts w:ascii="inherit" w:hAnsi="inherit"/>
                <w:b/>
                <w:bCs/>
              </w:rPr>
              <w:t> </w:t>
            </w:r>
            <w:r>
              <w:rPr>
                <w:rFonts w:ascii="inherit" w:hAnsi="inherit"/>
                <w:b/>
                <w:bCs/>
              </w:rPr>
              <w:t>267</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 </w:t>
            </w:r>
            <w:r>
              <w:rPr>
                <w:rFonts w:ascii="inherit" w:hAnsi="inherit"/>
              </w:rPr>
              <w:t> </w:t>
            </w:r>
            <w:r>
              <w:rPr>
                <w:rFonts w:ascii="inherit" w:hAnsi="inherit"/>
              </w:rPr>
              <w:t>378</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 </w:t>
            </w:r>
            <w:r>
              <w:rPr>
                <w:rFonts w:ascii="inherit" w:hAnsi="inherit"/>
              </w:rPr>
              <w:t> </w:t>
            </w:r>
            <w:r>
              <w:rPr>
                <w:rFonts w:ascii="inherit" w:hAnsi="inherit"/>
              </w:rPr>
              <w:t>286</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Net income attributable to noncontrolling interests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26</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42</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67</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Net foreign currency translation adjustment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b/>
                <w:bCs/>
              </w:rPr>
              <w:t>5</w:t>
            </w:r>
            <w:r>
              <w:rPr>
                <w:rFonts w:ascii="inherit" w:hAnsi="inherit"/>
              </w:rPr>
              <w:t>)</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38</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Dividends paid to noncontrolling interests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(25)</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(58)</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(48)</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Acquisition of interests held by noncontrolling owners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(34)</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(15)</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Contributions by noncontrolling interests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6</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Business combinations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(22)</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25</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50</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rPr>
              <w:t>    Deconsolidation of certain entities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(89)</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p>
        </w:tc>
      </w:tr>
      <w:tr w:rsidR="00D729A1" w:rsidTr="00D729A1">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rPr>
                <w:rFonts w:ascii="inherit" w:hAnsi="inherit"/>
              </w:rPr>
            </w:pPr>
            <w:r>
              <w:rPr>
                <w:rFonts w:ascii="inherit" w:hAnsi="inherit"/>
                <w:b/>
                <w:bCs/>
              </w:rPr>
              <w:t>TOTAL EQUITY ATTRIBUTABLE TO NONCONTROLLING INTERESTS</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b/>
                <w:bCs/>
              </w:rPr>
              <w:t>$</w:t>
            </w:r>
            <w:r>
              <w:rPr>
                <w:rFonts w:ascii="inherit" w:hAnsi="inherit"/>
                <w:b/>
                <w:bCs/>
              </w:rPr>
              <w:t> </w:t>
            </w:r>
            <w:r>
              <w:rPr>
                <w:rFonts w:ascii="inherit" w:hAnsi="inherit"/>
                <w:b/>
                <w:bCs/>
              </w:rPr>
              <w:t> </w:t>
            </w:r>
            <w:r>
              <w:rPr>
                <w:rFonts w:ascii="inherit" w:hAnsi="inherit"/>
                <w:b/>
                <w:bCs/>
              </w:rPr>
              <w:t> </w:t>
            </w:r>
            <w:r>
              <w:rPr>
                <w:rFonts w:ascii="inherit" w:hAnsi="inherit"/>
                <w:b/>
                <w:bCs/>
              </w:rPr>
              <w:t>241</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 </w:t>
            </w:r>
            <w:r>
              <w:rPr>
                <w:rFonts w:ascii="inherit" w:hAnsi="inherit"/>
              </w:rPr>
              <w:t> </w:t>
            </w:r>
            <w:r>
              <w:rPr>
                <w:rFonts w:ascii="inherit" w:hAnsi="inherit"/>
              </w:rPr>
              <w:t>267</w:t>
            </w:r>
            <w:r>
              <w:rPr>
                <w:rFonts w:ascii="inherit" w:hAnsi="inherit"/>
              </w:rPr>
              <w:t> </w:t>
            </w:r>
          </w:p>
        </w:tc>
        <w:tc>
          <w:tcPr>
            <w:tcW w:w="0" w:type="auto"/>
            <w:tcBorders>
              <w:top w:val="single" w:sz="6" w:space="0" w:color="393838"/>
              <w:left w:val="single" w:sz="6" w:space="0" w:color="393838"/>
              <w:bottom w:val="single" w:sz="6" w:space="0" w:color="393838"/>
              <w:right w:val="single" w:sz="6" w:space="0" w:color="393838"/>
            </w:tcBorders>
            <w:tcMar>
              <w:top w:w="45" w:type="dxa"/>
              <w:left w:w="45" w:type="dxa"/>
              <w:bottom w:w="45" w:type="dxa"/>
              <w:right w:w="45" w:type="dxa"/>
            </w:tcMar>
            <w:hideMark/>
          </w:tcPr>
          <w:p w:rsidR="00D729A1" w:rsidRDefault="00D729A1">
            <w:pPr>
              <w:jc w:val="right"/>
              <w:textAlignment w:val="baseline"/>
              <w:rPr>
                <w:rFonts w:ascii="inherit" w:hAnsi="inherit"/>
              </w:rPr>
            </w:pPr>
            <w:r>
              <w:rPr>
                <w:rFonts w:ascii="inherit" w:hAnsi="inherit"/>
              </w:rPr>
              <w:t>$</w:t>
            </w:r>
            <w:r>
              <w:rPr>
                <w:rFonts w:ascii="inherit" w:hAnsi="inherit"/>
              </w:rPr>
              <w:t> </w:t>
            </w:r>
            <w:r>
              <w:rPr>
                <w:rFonts w:ascii="inherit" w:hAnsi="inherit"/>
              </w:rPr>
              <w:t> </w:t>
            </w:r>
            <w:r>
              <w:rPr>
                <w:rFonts w:ascii="inherit" w:hAnsi="inherit"/>
              </w:rPr>
              <w:t> </w:t>
            </w:r>
            <w:r>
              <w:rPr>
                <w:rFonts w:ascii="inherit" w:hAnsi="inherit"/>
              </w:rPr>
              <w:t>378</w:t>
            </w:r>
            <w:r>
              <w:rPr>
                <w:rFonts w:ascii="inherit" w:hAnsi="inherit"/>
              </w:rPr>
              <w:t> </w:t>
            </w:r>
          </w:p>
        </w:tc>
      </w:tr>
    </w:tbl>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r>
        <w:rPr>
          <w:noProof/>
        </w:rPr>
        <mc:AlternateContent>
          <mc:Choice Requires="wps">
            <w:drawing>
              <wp:inline distT="0" distB="0" distL="0" distR="0">
                <wp:extent cx="304800" cy="304800"/>
                <wp:effectExtent l="0" t="0" r="0" b="0"/>
                <wp:docPr id="1" name="Rectangle 1" descr="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70B5C8" id="Rectangle 1" o:spid="_x0000_s1026" alt="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9+iugIAAMYFAAAOAAAAZHJzL2Uyb0RvYy54bWysVFtv0zAUfkfiP1h+z3KZe0m0dNqaBiEN&#10;mBj8ADdxEovEDrbbdCD+O8dO27XdCwL8YB2fY3/n9vnc3O66Fm2Z0lyKFIdXAUZMFLLkok7x1y+5&#10;N8dIGypK2krBUvzMNL5dvH1zM/QJi2Qj25IpBCBCJ0Of4saYPvF9XTSso/pK9kyAsZKqowaOqvZL&#10;RQdA71o/CoKpP0hV9koWTGvQZqMRLxx+VbHCfKoqzQxqUwyxGbcrt6/t7i9uaFIr2je82IdB/yKK&#10;jnIBTo9QGTUUbRR/BdXxQkktK3NVyM6XVcUL5nKAbMLgIpunhvbM5QLF0f2xTPr/wRYft48K8RJ6&#10;h5GgHbToMxSNirplCFQl0wWUi3e0hs5BtYZeJ/DoqX9UNl/dP8jim0ZCLht4xO50D89HtINKKTk0&#10;jJYQdmgh/DMMe9CAhtbDB1mCf7ox0tVyV6nO+oAqoZ1r2fOxZWxnUAHK64DMA2hsAaa9bD3Q5PC4&#10;V9q8Y7JDVkixgugcON0+aDNePVyxvoTMeduCniatOFMA5qgB1/DU2mwQrsk/4yBezVdz4pFouvJI&#10;kGXeXb4k3jQPZ5PsOlsus/CX9RuSpOFlyYR1cyBcSP6soXvqj1Q5Uk7LlpcWzoakVb1etgptKRA+&#10;d8uVHCwv1/zzMFy9IJeLlMKIBPdR7OXT+cwjOZl48SyYe0EY38fTgMQky89TeuCC/XtKaEhxPIkm&#10;rksnQV/kFrj1OjeadNzASGl5l2KgBix7iSaWgStROtlQ3o7ySSls+C+lgHYfGu34aik6sn8ty2eg&#10;q5JAJ2AeDD8QGql+YDTAIEmx/r6himHUvhdA+TgkxE4edyCTWQQHdWpZn1qoKAAqxQajUVyacVpt&#10;esXrBjyFrjBC3sE3qbijsP1CY1T7zwXDwmWyH2x2Gp2e3a2X8bv4D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OBP36K6AgAAxgUA&#10;AA4AAAAAAAAAAAAAAAAALgIAAGRycy9lMm9Eb2MueG1sUEsBAi0AFAAGAAgAAAAhAEyg6SzYAAAA&#10;AwEAAA8AAAAAAAAAAAAAAAAAFAUAAGRycy9kb3ducmV2LnhtbFBLBQYAAAAABAAEAPMAAAAZBgAA&#10;AAA=&#10;" filled="f" stroked="f">
                <o:lock v:ext="edit" aspectratio="t"/>
                <w10:anchorlock/>
              </v:rect>
            </w:pict>
          </mc:Fallback>
        </mc:AlternateContent>
      </w: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pStyle w:val="Heading1"/>
        <w:spacing w:before="0"/>
        <w:textAlignment w:val="baseline"/>
        <w:rPr>
          <w:rFonts w:ascii="Arial" w:hAnsi="Arial" w:cs="Arial"/>
          <w:color w:val="004176"/>
          <w:sz w:val="36"/>
          <w:szCs w:val="36"/>
        </w:rPr>
      </w:pPr>
      <w:r>
        <w:rPr>
          <w:rStyle w:val="chapternumber"/>
          <w:rFonts w:ascii="inherit" w:hAnsi="inherit" w:cs="Arial"/>
          <w:color w:val="007948"/>
          <w:sz w:val="36"/>
          <w:szCs w:val="36"/>
          <w:bdr w:val="none" w:sz="0" w:space="0" w:color="auto" w:frame="1"/>
        </w:rPr>
        <w:lastRenderedPageBreak/>
        <w:t>D</w:t>
      </w:r>
      <w:r>
        <w:rPr>
          <w:rStyle w:val="apple-converted-space"/>
          <w:rFonts w:ascii="Arial" w:hAnsi="Arial" w:cs="Arial"/>
          <w:color w:val="004176"/>
          <w:sz w:val="36"/>
          <w:szCs w:val="36"/>
        </w:rPr>
        <w:t> </w:t>
      </w:r>
      <w:r>
        <w:rPr>
          <w:rStyle w:val="chaptertitle"/>
          <w:rFonts w:ascii="inherit" w:hAnsi="inherit" w:cs="Arial"/>
          <w:color w:val="004176"/>
          <w:sz w:val="36"/>
          <w:szCs w:val="36"/>
          <w:bdr w:val="none" w:sz="0" w:space="0" w:color="auto" w:frame="1"/>
        </w:rPr>
        <w:t>Specimen Financial Statements:</w:t>
      </w:r>
      <w:r>
        <w:rPr>
          <w:rStyle w:val="apple-converted-space"/>
          <w:rFonts w:ascii="inherit" w:hAnsi="inherit" w:cs="Arial"/>
          <w:color w:val="004176"/>
          <w:sz w:val="36"/>
          <w:szCs w:val="36"/>
          <w:bdr w:val="none" w:sz="0" w:space="0" w:color="auto" w:frame="1"/>
        </w:rPr>
        <w:t> </w:t>
      </w:r>
      <w:r>
        <w:rPr>
          <w:rStyle w:val="red1"/>
          <w:rFonts w:ascii="inherit" w:hAnsi="inherit" w:cs="Arial"/>
          <w:color w:val="EE1C25"/>
          <w:sz w:val="36"/>
          <w:szCs w:val="36"/>
          <w:bdr w:val="none" w:sz="0" w:space="0" w:color="auto" w:frame="1"/>
        </w:rPr>
        <w:t>PepsiCo, Inc.</w:t>
      </w:r>
    </w:p>
    <w:p w:rsidR="00D729A1" w:rsidRDefault="00D729A1" w:rsidP="00D729A1">
      <w:pPr>
        <w:pStyle w:val="NormalWeb"/>
        <w:spacing w:before="0" w:beforeAutospacing="0" w:after="0" w:afterAutospacing="0"/>
        <w:textAlignment w:val="baseline"/>
        <w:rPr>
          <w:rFonts w:ascii="Georgia" w:hAnsi="Georgia"/>
          <w:color w:val="000000"/>
        </w:rPr>
      </w:pPr>
      <w:proofErr w:type="spellStart"/>
      <w:r>
        <w:rPr>
          <w:rStyle w:val="red2"/>
          <w:rFonts w:ascii="inherit" w:hAnsi="inherit"/>
          <w:b/>
          <w:bCs/>
          <w:color w:val="EE1C25"/>
          <w:bdr w:val="none" w:sz="0" w:space="0" w:color="auto" w:frame="1"/>
        </w:rPr>
        <w:t>Pepsico</w:t>
      </w:r>
      <w:proofErr w:type="spellEnd"/>
      <w:r>
        <w:rPr>
          <w:rStyle w:val="red2"/>
          <w:rFonts w:ascii="inherit" w:hAnsi="inherit"/>
          <w:b/>
          <w:bCs/>
          <w:color w:val="EE1C25"/>
          <w:bdr w:val="none" w:sz="0" w:space="0" w:color="auto" w:frame="1"/>
        </w:rPr>
        <w:t>, Inc.</w:t>
      </w:r>
      <w:r>
        <w:rPr>
          <w:rStyle w:val="apple-converted-space"/>
          <w:rFonts w:ascii="Georgia" w:hAnsi="Georgia"/>
          <w:color w:val="000000"/>
        </w:rPr>
        <w:t> </w:t>
      </w:r>
      <w:r>
        <w:rPr>
          <w:rFonts w:ascii="Georgia" w:hAnsi="Georgia"/>
          <w:color w:val="000000"/>
        </w:rPr>
        <w:t>is a leading global food and beverage company with a complementary portfolio of enjoyable brands, including Frito-Lay, Gatorade, Pepsi-Cola, Quaker, and Tropicana. Through its operations, authorized bottlers, contract manufacturers, and other third parties, PepsiCo makes, markets, distributes, and sells a wide variety of convenient and enjoyable beverages, foods, and snacks, serving customers and consumers in more than 200 countries and territories. To access PepsiCo's complete annual report, including notes to the financial statements, follow these steps:</w:t>
      </w:r>
    </w:p>
    <w:p w:rsidR="00D729A1" w:rsidRDefault="00D729A1" w:rsidP="00D729A1">
      <w:pPr>
        <w:numPr>
          <w:ilvl w:val="0"/>
          <w:numId w:val="2"/>
        </w:numPr>
        <w:spacing w:after="0" w:line="240" w:lineRule="auto"/>
        <w:textAlignment w:val="baseline"/>
        <w:rPr>
          <w:rFonts w:ascii="inherit" w:hAnsi="inherit"/>
          <w:color w:val="000000"/>
        </w:rPr>
      </w:pPr>
      <w:r>
        <w:rPr>
          <w:rFonts w:ascii="inherit" w:hAnsi="inherit"/>
          <w:color w:val="000000"/>
        </w:rPr>
        <w:t>Go to</w:t>
      </w:r>
      <w:r>
        <w:rPr>
          <w:rStyle w:val="apple-converted-space"/>
          <w:rFonts w:ascii="inherit" w:hAnsi="inherit"/>
          <w:color w:val="000000"/>
        </w:rPr>
        <w:t> </w:t>
      </w:r>
      <w:hyperlink r:id="rId10" w:history="1">
        <w:r>
          <w:rPr>
            <w:rStyle w:val="Hyperlink"/>
            <w:rFonts w:ascii="inherit" w:hAnsi="inherit"/>
            <w:b/>
            <w:bCs/>
            <w:bdr w:val="none" w:sz="0" w:space="0" w:color="auto" w:frame="1"/>
          </w:rPr>
          <w:t>http://www.pepsico.com/Investors</w:t>
        </w:r>
      </w:hyperlink>
      <w:r>
        <w:rPr>
          <w:rFonts w:ascii="inherit" w:hAnsi="inherit"/>
          <w:color w:val="000000"/>
        </w:rPr>
        <w:t>.</w:t>
      </w:r>
    </w:p>
    <w:p w:rsidR="00D729A1" w:rsidRDefault="00D729A1" w:rsidP="00D729A1">
      <w:pPr>
        <w:numPr>
          <w:ilvl w:val="0"/>
          <w:numId w:val="2"/>
        </w:numPr>
        <w:spacing w:before="120" w:after="0" w:line="240" w:lineRule="auto"/>
        <w:textAlignment w:val="baseline"/>
        <w:rPr>
          <w:rFonts w:ascii="inherit" w:hAnsi="inherit"/>
          <w:color w:val="000000"/>
        </w:rPr>
      </w:pPr>
      <w:r>
        <w:rPr>
          <w:rFonts w:ascii="inherit" w:hAnsi="inherit"/>
          <w:color w:val="000000"/>
        </w:rPr>
        <w:t>Select SEC Filings and then the 10K, dated 2/12/2015 (select the pdf version).</w:t>
      </w:r>
    </w:p>
    <w:p w:rsidR="00D729A1" w:rsidRDefault="00D729A1" w:rsidP="00D729A1">
      <w:pPr>
        <w:numPr>
          <w:ilvl w:val="0"/>
          <w:numId w:val="2"/>
        </w:numPr>
        <w:spacing w:before="120" w:after="0" w:line="240" w:lineRule="auto"/>
        <w:textAlignment w:val="baseline"/>
        <w:rPr>
          <w:rFonts w:ascii="inherit" w:hAnsi="inherit"/>
          <w:color w:val="000000"/>
        </w:rPr>
      </w:pPr>
      <w:r>
        <w:rPr>
          <w:rFonts w:ascii="inherit" w:hAnsi="inherit"/>
          <w:color w:val="000000"/>
        </w:rPr>
        <w:t>Select Entire document.</w:t>
      </w:r>
    </w:p>
    <w:p w:rsidR="00D729A1" w:rsidRDefault="00D729A1" w:rsidP="00D729A1">
      <w:pPr>
        <w:numPr>
          <w:ilvl w:val="0"/>
          <w:numId w:val="2"/>
        </w:numPr>
        <w:spacing w:before="120" w:after="0" w:line="240" w:lineRule="auto"/>
        <w:textAlignment w:val="baseline"/>
        <w:rPr>
          <w:rFonts w:ascii="inherit" w:hAnsi="inherit"/>
          <w:color w:val="000000"/>
        </w:rPr>
      </w:pPr>
      <w:r>
        <w:rPr>
          <w:rFonts w:ascii="inherit" w:hAnsi="inherit"/>
          <w:color w:val="000000"/>
        </w:rPr>
        <w:t>The Notes to Consolidated Financial Statements begin on page 73.</w:t>
      </w:r>
    </w:p>
    <w:p w:rsidR="00D729A1" w:rsidRDefault="00D729A1" w:rsidP="00D729A1">
      <w:pPr>
        <w:numPr>
          <w:ilvl w:val="0"/>
          <w:numId w:val="3"/>
        </w:numPr>
        <w:spacing w:before="120" w:after="0" w:line="240" w:lineRule="auto"/>
        <w:textAlignment w:val="baseline"/>
        <w:rPr>
          <w:rFonts w:ascii="inherit" w:hAnsi="inherit"/>
          <w:color w:val="000000"/>
        </w:rPr>
      </w:pPr>
      <w:r>
        <w:rPr>
          <w:rFonts w:ascii="inherit" w:hAnsi="inherit"/>
          <w:b/>
          <w:bCs/>
          <w:color w:val="000000"/>
        </w:rPr>
        <w:t>Consolidated Statement of Income</w:t>
      </w:r>
    </w:p>
    <w:p w:rsidR="00D729A1" w:rsidRDefault="00D729A1" w:rsidP="00D729A1">
      <w:pPr>
        <w:numPr>
          <w:ilvl w:val="0"/>
          <w:numId w:val="3"/>
        </w:numPr>
        <w:spacing w:before="120" w:after="0" w:line="240" w:lineRule="auto"/>
        <w:textAlignment w:val="baseline"/>
        <w:rPr>
          <w:rFonts w:ascii="inherit" w:hAnsi="inherit"/>
          <w:color w:val="000000"/>
        </w:rPr>
      </w:pPr>
      <w:r>
        <w:rPr>
          <w:rFonts w:ascii="inherit" w:hAnsi="inherit"/>
          <w:color w:val="000000"/>
        </w:rPr>
        <w:t>PepsiCo, Inc. and Subsidiaries</w:t>
      </w:r>
    </w:p>
    <w:p w:rsidR="00D729A1" w:rsidRDefault="00D729A1" w:rsidP="00D729A1">
      <w:pPr>
        <w:numPr>
          <w:ilvl w:val="0"/>
          <w:numId w:val="3"/>
        </w:numPr>
        <w:spacing w:before="120" w:after="0" w:line="240" w:lineRule="auto"/>
        <w:textAlignment w:val="baseline"/>
        <w:rPr>
          <w:rFonts w:ascii="inherit" w:hAnsi="inherit"/>
          <w:color w:val="000000"/>
        </w:rPr>
      </w:pPr>
      <w:r>
        <w:rPr>
          <w:rFonts w:ascii="inherit" w:hAnsi="inherit"/>
          <w:color w:val="000000"/>
        </w:rPr>
        <w:t>Fiscal years ended December 27, 2014, December 28, 2013 and December 29, 2012</w:t>
      </w:r>
    </w:p>
    <w:p w:rsidR="00D729A1" w:rsidRDefault="00D729A1" w:rsidP="00D729A1">
      <w:pPr>
        <w:numPr>
          <w:ilvl w:val="0"/>
          <w:numId w:val="3"/>
        </w:numPr>
        <w:spacing w:before="120" w:after="0" w:line="240" w:lineRule="auto"/>
        <w:textAlignment w:val="baseline"/>
        <w:rPr>
          <w:rFonts w:ascii="inherit" w:hAnsi="inherit"/>
          <w:color w:val="000000"/>
        </w:rPr>
      </w:pPr>
      <w:r>
        <w:rPr>
          <w:rFonts w:ascii="inherit" w:hAnsi="inherit"/>
          <w:color w:val="000000"/>
        </w:rPr>
        <w:t>(in millions except per share amounts</w:t>
      </w: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r>
        <w:rPr>
          <w:noProof/>
        </w:rPr>
        <w:drawing>
          <wp:inline distT="0" distB="0" distL="0" distR="0" wp14:anchorId="2AB67D6F" wp14:editId="4CFB2DD5">
            <wp:extent cx="5943600" cy="3392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92170"/>
                    </a:xfrm>
                    <a:prstGeom prst="rect">
                      <a:avLst/>
                    </a:prstGeom>
                  </pic:spPr>
                </pic:pic>
              </a:graphicData>
            </a:graphic>
          </wp:inline>
        </w:drawing>
      </w: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Pr="00D729A1" w:rsidRDefault="00D729A1" w:rsidP="00D729A1">
      <w:pPr>
        <w:numPr>
          <w:ilvl w:val="0"/>
          <w:numId w:val="4"/>
        </w:numPr>
        <w:spacing w:before="120" w:after="0" w:line="240" w:lineRule="auto"/>
        <w:textAlignment w:val="baseline"/>
        <w:rPr>
          <w:rFonts w:ascii="inherit" w:eastAsia="Times New Roman" w:hAnsi="inherit" w:cs="Times New Roman"/>
          <w:color w:val="000000"/>
          <w:sz w:val="24"/>
          <w:szCs w:val="24"/>
        </w:rPr>
      </w:pPr>
      <w:r w:rsidRPr="00D729A1">
        <w:rPr>
          <w:rFonts w:ascii="inherit" w:eastAsia="Times New Roman" w:hAnsi="inherit" w:cs="Times New Roman"/>
          <w:b/>
          <w:bCs/>
          <w:color w:val="000000"/>
          <w:sz w:val="24"/>
          <w:szCs w:val="24"/>
        </w:rPr>
        <w:lastRenderedPageBreak/>
        <w:t>Consolidated Statement of Comprehensive Income</w:t>
      </w:r>
    </w:p>
    <w:p w:rsidR="00D729A1" w:rsidRPr="00D729A1" w:rsidRDefault="00D729A1" w:rsidP="00D729A1">
      <w:pPr>
        <w:numPr>
          <w:ilvl w:val="0"/>
          <w:numId w:val="4"/>
        </w:numPr>
        <w:spacing w:before="120" w:after="0" w:line="240" w:lineRule="auto"/>
        <w:textAlignment w:val="baseline"/>
        <w:rPr>
          <w:rFonts w:ascii="inherit" w:eastAsia="Times New Roman" w:hAnsi="inherit" w:cs="Times New Roman"/>
          <w:color w:val="000000"/>
          <w:sz w:val="24"/>
          <w:szCs w:val="24"/>
        </w:rPr>
      </w:pPr>
      <w:r w:rsidRPr="00D729A1">
        <w:rPr>
          <w:rFonts w:ascii="inherit" w:eastAsia="Times New Roman" w:hAnsi="inherit" w:cs="Times New Roman"/>
          <w:color w:val="000000"/>
          <w:sz w:val="24"/>
          <w:szCs w:val="24"/>
        </w:rPr>
        <w:t>PepsiCo, Inc. and Subsidiaries</w:t>
      </w:r>
    </w:p>
    <w:p w:rsidR="00D729A1" w:rsidRPr="00D729A1" w:rsidRDefault="00D729A1" w:rsidP="00D729A1">
      <w:pPr>
        <w:numPr>
          <w:ilvl w:val="0"/>
          <w:numId w:val="4"/>
        </w:numPr>
        <w:spacing w:before="120" w:after="0" w:line="240" w:lineRule="auto"/>
        <w:textAlignment w:val="baseline"/>
        <w:rPr>
          <w:rFonts w:ascii="inherit" w:eastAsia="Times New Roman" w:hAnsi="inherit" w:cs="Times New Roman"/>
          <w:color w:val="000000"/>
          <w:sz w:val="24"/>
          <w:szCs w:val="24"/>
        </w:rPr>
      </w:pPr>
      <w:r w:rsidRPr="00D729A1">
        <w:rPr>
          <w:rFonts w:ascii="inherit" w:eastAsia="Times New Roman" w:hAnsi="inherit" w:cs="Times New Roman"/>
          <w:color w:val="000000"/>
          <w:sz w:val="24"/>
          <w:szCs w:val="24"/>
        </w:rPr>
        <w:t>Fiscal years ended December 27, 2014, December 28, 2013 and December 29, 2012</w:t>
      </w:r>
    </w:p>
    <w:p w:rsidR="00D729A1" w:rsidRDefault="00D729A1" w:rsidP="00D729A1">
      <w:pPr>
        <w:numPr>
          <w:ilvl w:val="0"/>
          <w:numId w:val="4"/>
        </w:numPr>
        <w:spacing w:before="120" w:after="0" w:line="240" w:lineRule="auto"/>
        <w:textAlignment w:val="baseline"/>
        <w:rPr>
          <w:rFonts w:ascii="inherit" w:eastAsia="Times New Roman" w:hAnsi="inherit" w:cs="Times New Roman"/>
          <w:color w:val="000000"/>
          <w:sz w:val="24"/>
          <w:szCs w:val="24"/>
        </w:rPr>
      </w:pPr>
      <w:r w:rsidRPr="00D729A1">
        <w:rPr>
          <w:rFonts w:ascii="inherit" w:eastAsia="Times New Roman" w:hAnsi="inherit" w:cs="Times New Roman"/>
          <w:color w:val="000000"/>
          <w:sz w:val="24"/>
          <w:szCs w:val="24"/>
        </w:rPr>
        <w:t>(in millions)</w:t>
      </w:r>
    </w:p>
    <w:p w:rsidR="00D729A1" w:rsidRDefault="00D729A1" w:rsidP="00D729A1">
      <w:pPr>
        <w:spacing w:before="120" w:after="0" w:line="240" w:lineRule="auto"/>
        <w:textAlignment w:val="baseline"/>
        <w:rPr>
          <w:rFonts w:ascii="inherit" w:eastAsia="Times New Roman" w:hAnsi="inherit" w:cs="Times New Roman"/>
          <w:color w:val="000000"/>
          <w:sz w:val="24"/>
          <w:szCs w:val="24"/>
        </w:rPr>
      </w:pPr>
      <w:r>
        <w:rPr>
          <w:noProof/>
        </w:rPr>
        <w:drawing>
          <wp:inline distT="0" distB="0" distL="0" distR="0" wp14:anchorId="7162F469" wp14:editId="75719E10">
            <wp:extent cx="5943600" cy="6987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987540"/>
                    </a:xfrm>
                    <a:prstGeom prst="rect">
                      <a:avLst/>
                    </a:prstGeom>
                  </pic:spPr>
                </pic:pic>
              </a:graphicData>
            </a:graphic>
          </wp:inline>
        </w:drawing>
      </w:r>
    </w:p>
    <w:p w:rsidR="00D729A1" w:rsidRPr="00D729A1" w:rsidRDefault="00D729A1" w:rsidP="00D729A1">
      <w:pPr>
        <w:numPr>
          <w:ilvl w:val="0"/>
          <w:numId w:val="5"/>
        </w:numPr>
        <w:spacing w:before="120" w:after="0" w:line="240" w:lineRule="auto"/>
        <w:textAlignment w:val="baseline"/>
        <w:rPr>
          <w:rFonts w:ascii="inherit" w:eastAsia="Times New Roman" w:hAnsi="inherit" w:cs="Times New Roman"/>
          <w:color w:val="000000"/>
          <w:sz w:val="24"/>
          <w:szCs w:val="24"/>
        </w:rPr>
      </w:pPr>
      <w:r w:rsidRPr="00D729A1">
        <w:rPr>
          <w:rFonts w:ascii="inherit" w:eastAsia="Times New Roman" w:hAnsi="inherit" w:cs="Times New Roman"/>
          <w:b/>
          <w:bCs/>
          <w:color w:val="000000"/>
          <w:sz w:val="24"/>
          <w:szCs w:val="24"/>
        </w:rPr>
        <w:lastRenderedPageBreak/>
        <w:t>Consolidated Statement of Cash Flows</w:t>
      </w:r>
    </w:p>
    <w:p w:rsidR="00D729A1" w:rsidRPr="00D729A1" w:rsidRDefault="00D729A1" w:rsidP="00D729A1">
      <w:pPr>
        <w:numPr>
          <w:ilvl w:val="0"/>
          <w:numId w:val="5"/>
        </w:numPr>
        <w:spacing w:before="120" w:after="0" w:line="240" w:lineRule="auto"/>
        <w:textAlignment w:val="baseline"/>
        <w:rPr>
          <w:rFonts w:ascii="inherit" w:eastAsia="Times New Roman" w:hAnsi="inherit" w:cs="Times New Roman"/>
          <w:color w:val="000000"/>
          <w:sz w:val="24"/>
          <w:szCs w:val="24"/>
        </w:rPr>
      </w:pPr>
      <w:r w:rsidRPr="00D729A1">
        <w:rPr>
          <w:rFonts w:ascii="inherit" w:eastAsia="Times New Roman" w:hAnsi="inherit" w:cs="Times New Roman"/>
          <w:color w:val="000000"/>
          <w:sz w:val="24"/>
          <w:szCs w:val="24"/>
        </w:rPr>
        <w:t>PepsiCo, Inc. and Subsidiaries</w:t>
      </w:r>
    </w:p>
    <w:p w:rsidR="00D729A1" w:rsidRPr="00D729A1" w:rsidRDefault="00D729A1" w:rsidP="00D729A1">
      <w:pPr>
        <w:numPr>
          <w:ilvl w:val="0"/>
          <w:numId w:val="5"/>
        </w:numPr>
        <w:spacing w:before="120" w:after="0" w:line="240" w:lineRule="auto"/>
        <w:textAlignment w:val="baseline"/>
        <w:rPr>
          <w:rFonts w:ascii="inherit" w:eastAsia="Times New Roman" w:hAnsi="inherit" w:cs="Times New Roman"/>
          <w:color w:val="000000"/>
          <w:sz w:val="24"/>
          <w:szCs w:val="24"/>
        </w:rPr>
      </w:pPr>
      <w:r w:rsidRPr="00D729A1">
        <w:rPr>
          <w:rFonts w:ascii="inherit" w:eastAsia="Times New Roman" w:hAnsi="inherit" w:cs="Times New Roman"/>
          <w:color w:val="000000"/>
          <w:sz w:val="24"/>
          <w:szCs w:val="24"/>
        </w:rPr>
        <w:t>Fiscal years ended December 27, 2014, December 28, 2013 and December 29, 2012</w:t>
      </w:r>
    </w:p>
    <w:p w:rsidR="00D729A1" w:rsidRPr="00D729A1" w:rsidRDefault="00D729A1" w:rsidP="00D729A1">
      <w:pPr>
        <w:numPr>
          <w:ilvl w:val="0"/>
          <w:numId w:val="5"/>
        </w:numPr>
        <w:spacing w:before="120" w:after="0" w:line="240" w:lineRule="auto"/>
        <w:textAlignment w:val="baseline"/>
        <w:rPr>
          <w:rFonts w:ascii="inherit" w:eastAsia="Times New Roman" w:hAnsi="inherit" w:cs="Times New Roman"/>
          <w:color w:val="000000"/>
          <w:sz w:val="24"/>
          <w:szCs w:val="24"/>
        </w:rPr>
      </w:pPr>
      <w:r w:rsidRPr="00D729A1">
        <w:rPr>
          <w:rFonts w:ascii="inherit" w:eastAsia="Times New Roman" w:hAnsi="inherit" w:cs="Times New Roman"/>
          <w:color w:val="000000"/>
          <w:sz w:val="24"/>
          <w:szCs w:val="24"/>
        </w:rPr>
        <w:t>(in millions)</w:t>
      </w:r>
    </w:p>
    <w:p w:rsidR="00D729A1" w:rsidRDefault="00D729A1" w:rsidP="00D729A1">
      <w:pPr>
        <w:spacing w:before="120" w:after="0" w:line="240" w:lineRule="auto"/>
        <w:textAlignment w:val="baseline"/>
        <w:rPr>
          <w:rFonts w:ascii="inherit" w:eastAsia="Times New Roman" w:hAnsi="inherit" w:cs="Times New Roman"/>
          <w:color w:val="000000"/>
          <w:sz w:val="24"/>
          <w:szCs w:val="24"/>
        </w:rPr>
      </w:pPr>
      <w:r>
        <w:rPr>
          <w:noProof/>
        </w:rPr>
        <w:lastRenderedPageBreak/>
        <w:drawing>
          <wp:inline distT="0" distB="0" distL="0" distR="0" wp14:anchorId="3D950C0B" wp14:editId="3FBA6681">
            <wp:extent cx="5943600" cy="74841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484110"/>
                    </a:xfrm>
                    <a:prstGeom prst="rect">
                      <a:avLst/>
                    </a:prstGeom>
                  </pic:spPr>
                </pic:pic>
              </a:graphicData>
            </a:graphic>
          </wp:inline>
        </w:drawing>
      </w:r>
    </w:p>
    <w:p w:rsidR="00D729A1" w:rsidRPr="00D729A1" w:rsidRDefault="00D729A1" w:rsidP="00D729A1">
      <w:pPr>
        <w:numPr>
          <w:ilvl w:val="0"/>
          <w:numId w:val="6"/>
        </w:numPr>
        <w:spacing w:before="120" w:after="0" w:line="240" w:lineRule="auto"/>
        <w:textAlignment w:val="baseline"/>
        <w:rPr>
          <w:rFonts w:ascii="inherit" w:eastAsia="Times New Roman" w:hAnsi="inherit" w:cs="Times New Roman"/>
          <w:color w:val="000000"/>
          <w:sz w:val="24"/>
          <w:szCs w:val="24"/>
        </w:rPr>
      </w:pPr>
      <w:r w:rsidRPr="00D729A1">
        <w:rPr>
          <w:rFonts w:ascii="inherit" w:eastAsia="Times New Roman" w:hAnsi="inherit" w:cs="Times New Roman"/>
          <w:b/>
          <w:bCs/>
          <w:color w:val="000000"/>
          <w:sz w:val="24"/>
          <w:szCs w:val="24"/>
        </w:rPr>
        <w:t>Consolidated Balance Sheet</w:t>
      </w:r>
    </w:p>
    <w:p w:rsidR="00D729A1" w:rsidRPr="00D729A1" w:rsidRDefault="00D729A1" w:rsidP="00D729A1">
      <w:pPr>
        <w:numPr>
          <w:ilvl w:val="0"/>
          <w:numId w:val="6"/>
        </w:numPr>
        <w:spacing w:before="120" w:after="0" w:line="240" w:lineRule="auto"/>
        <w:textAlignment w:val="baseline"/>
        <w:rPr>
          <w:rFonts w:ascii="inherit" w:eastAsia="Times New Roman" w:hAnsi="inherit" w:cs="Times New Roman"/>
          <w:color w:val="000000"/>
          <w:sz w:val="24"/>
          <w:szCs w:val="24"/>
        </w:rPr>
      </w:pPr>
      <w:r w:rsidRPr="00D729A1">
        <w:rPr>
          <w:rFonts w:ascii="inherit" w:eastAsia="Times New Roman" w:hAnsi="inherit" w:cs="Times New Roman"/>
          <w:color w:val="000000"/>
          <w:sz w:val="24"/>
          <w:szCs w:val="24"/>
        </w:rPr>
        <w:t>PepsiCo, Inc. and Subsidiaries</w:t>
      </w:r>
    </w:p>
    <w:p w:rsidR="00D729A1" w:rsidRPr="00D729A1" w:rsidRDefault="00D729A1" w:rsidP="00D729A1">
      <w:pPr>
        <w:numPr>
          <w:ilvl w:val="0"/>
          <w:numId w:val="6"/>
        </w:numPr>
        <w:spacing w:before="120" w:after="0" w:line="240" w:lineRule="auto"/>
        <w:textAlignment w:val="baseline"/>
        <w:rPr>
          <w:rFonts w:ascii="inherit" w:eastAsia="Times New Roman" w:hAnsi="inherit" w:cs="Times New Roman"/>
          <w:color w:val="000000"/>
          <w:sz w:val="24"/>
          <w:szCs w:val="24"/>
        </w:rPr>
      </w:pPr>
      <w:r w:rsidRPr="00D729A1">
        <w:rPr>
          <w:rFonts w:ascii="inherit" w:eastAsia="Times New Roman" w:hAnsi="inherit" w:cs="Times New Roman"/>
          <w:color w:val="000000"/>
          <w:sz w:val="24"/>
          <w:szCs w:val="24"/>
        </w:rPr>
        <w:lastRenderedPageBreak/>
        <w:t>December 27, 2014 and December 28, 2013</w:t>
      </w:r>
    </w:p>
    <w:p w:rsidR="00D729A1" w:rsidRPr="00D729A1" w:rsidRDefault="00D729A1" w:rsidP="00D729A1">
      <w:pPr>
        <w:numPr>
          <w:ilvl w:val="0"/>
          <w:numId w:val="6"/>
        </w:numPr>
        <w:spacing w:before="120" w:after="0" w:line="240" w:lineRule="auto"/>
        <w:textAlignment w:val="baseline"/>
        <w:rPr>
          <w:rFonts w:ascii="inherit" w:eastAsia="Times New Roman" w:hAnsi="inherit" w:cs="Times New Roman"/>
          <w:color w:val="000000"/>
          <w:sz w:val="24"/>
          <w:szCs w:val="24"/>
        </w:rPr>
      </w:pPr>
      <w:r w:rsidRPr="00D729A1">
        <w:rPr>
          <w:rFonts w:ascii="inherit" w:eastAsia="Times New Roman" w:hAnsi="inherit" w:cs="Times New Roman"/>
          <w:color w:val="000000"/>
          <w:sz w:val="24"/>
          <w:szCs w:val="24"/>
        </w:rPr>
        <w:t>(in millions except per share amounts)</w:t>
      </w:r>
    </w:p>
    <w:p w:rsidR="00D729A1" w:rsidRPr="00D729A1" w:rsidRDefault="00D729A1" w:rsidP="00D729A1">
      <w:pPr>
        <w:spacing w:before="120" w:after="0" w:line="240" w:lineRule="auto"/>
        <w:textAlignment w:val="baseline"/>
        <w:rPr>
          <w:rFonts w:ascii="inherit" w:eastAsia="Times New Roman" w:hAnsi="inherit"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r>
        <w:rPr>
          <w:noProof/>
        </w:rPr>
        <w:drawing>
          <wp:inline distT="0" distB="0" distL="0" distR="0" wp14:anchorId="15230DAE" wp14:editId="6E1ED576">
            <wp:extent cx="5943600" cy="5550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550535"/>
                    </a:xfrm>
                    <a:prstGeom prst="rect">
                      <a:avLst/>
                    </a:prstGeom>
                  </pic:spPr>
                </pic:pic>
              </a:graphicData>
            </a:graphic>
          </wp:inline>
        </w:drawing>
      </w: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Pr="00D729A1" w:rsidRDefault="00D729A1" w:rsidP="00D729A1">
      <w:pPr>
        <w:numPr>
          <w:ilvl w:val="0"/>
          <w:numId w:val="7"/>
        </w:numPr>
        <w:spacing w:before="120" w:after="0" w:line="240" w:lineRule="auto"/>
        <w:textAlignment w:val="baseline"/>
        <w:rPr>
          <w:rFonts w:ascii="inherit" w:eastAsia="Times New Roman" w:hAnsi="inherit" w:cs="Times New Roman"/>
          <w:color w:val="000000"/>
          <w:sz w:val="24"/>
          <w:szCs w:val="24"/>
        </w:rPr>
      </w:pPr>
      <w:r w:rsidRPr="00D729A1">
        <w:rPr>
          <w:rFonts w:ascii="inherit" w:eastAsia="Times New Roman" w:hAnsi="inherit" w:cs="Times New Roman"/>
          <w:b/>
          <w:bCs/>
          <w:color w:val="000000"/>
          <w:sz w:val="24"/>
          <w:szCs w:val="24"/>
        </w:rPr>
        <w:t>Consolidated Statement of Equity</w:t>
      </w:r>
    </w:p>
    <w:p w:rsidR="00D729A1" w:rsidRPr="00D729A1" w:rsidRDefault="00D729A1" w:rsidP="00D729A1">
      <w:pPr>
        <w:numPr>
          <w:ilvl w:val="0"/>
          <w:numId w:val="7"/>
        </w:numPr>
        <w:spacing w:before="120" w:after="0" w:line="240" w:lineRule="auto"/>
        <w:textAlignment w:val="baseline"/>
        <w:rPr>
          <w:rFonts w:ascii="inherit" w:eastAsia="Times New Roman" w:hAnsi="inherit" w:cs="Times New Roman"/>
          <w:color w:val="000000"/>
          <w:sz w:val="24"/>
          <w:szCs w:val="24"/>
        </w:rPr>
      </w:pPr>
      <w:r w:rsidRPr="00D729A1">
        <w:rPr>
          <w:rFonts w:ascii="inherit" w:eastAsia="Times New Roman" w:hAnsi="inherit" w:cs="Times New Roman"/>
          <w:color w:val="000000"/>
          <w:sz w:val="24"/>
          <w:szCs w:val="24"/>
        </w:rPr>
        <w:t>PepsiCo, Inc. and Subsidiaries</w:t>
      </w:r>
    </w:p>
    <w:p w:rsidR="00D729A1" w:rsidRPr="00D729A1" w:rsidRDefault="00D729A1" w:rsidP="00D729A1">
      <w:pPr>
        <w:numPr>
          <w:ilvl w:val="0"/>
          <w:numId w:val="7"/>
        </w:numPr>
        <w:spacing w:before="120" w:after="0" w:line="240" w:lineRule="auto"/>
        <w:textAlignment w:val="baseline"/>
        <w:rPr>
          <w:rFonts w:ascii="inherit" w:eastAsia="Times New Roman" w:hAnsi="inherit" w:cs="Times New Roman"/>
          <w:color w:val="000000"/>
          <w:sz w:val="24"/>
          <w:szCs w:val="24"/>
        </w:rPr>
      </w:pPr>
      <w:r w:rsidRPr="00D729A1">
        <w:rPr>
          <w:rFonts w:ascii="inherit" w:eastAsia="Times New Roman" w:hAnsi="inherit" w:cs="Times New Roman"/>
          <w:color w:val="000000"/>
          <w:sz w:val="24"/>
          <w:szCs w:val="24"/>
        </w:rPr>
        <w:t>Fiscal years ended December 27, 2014, December 28, 2013 and December 29, 2012</w:t>
      </w:r>
    </w:p>
    <w:p w:rsidR="00D729A1" w:rsidRPr="00D729A1" w:rsidRDefault="00D729A1" w:rsidP="00D729A1">
      <w:pPr>
        <w:numPr>
          <w:ilvl w:val="0"/>
          <w:numId w:val="7"/>
        </w:numPr>
        <w:spacing w:before="120" w:after="0" w:line="240" w:lineRule="auto"/>
        <w:textAlignment w:val="baseline"/>
        <w:rPr>
          <w:rFonts w:ascii="inherit" w:eastAsia="Times New Roman" w:hAnsi="inherit" w:cs="Times New Roman"/>
          <w:color w:val="000000"/>
          <w:sz w:val="24"/>
          <w:szCs w:val="24"/>
        </w:rPr>
      </w:pPr>
      <w:r w:rsidRPr="00D729A1">
        <w:rPr>
          <w:rFonts w:ascii="inherit" w:eastAsia="Times New Roman" w:hAnsi="inherit" w:cs="Times New Roman"/>
          <w:color w:val="000000"/>
          <w:sz w:val="24"/>
          <w:szCs w:val="24"/>
        </w:rPr>
        <w:t>(in millions)</w:t>
      </w: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p>
    <w:p w:rsidR="00D729A1" w:rsidRDefault="00D729A1" w:rsidP="00D729A1">
      <w:pPr>
        <w:spacing w:after="0" w:line="240" w:lineRule="auto"/>
        <w:ind w:left="480" w:firstLine="192"/>
        <w:jc w:val="both"/>
        <w:textAlignment w:val="baseline"/>
        <w:rPr>
          <w:rFonts w:ascii="Georgia" w:eastAsia="Times New Roman" w:hAnsi="Georgia" w:cs="Times New Roman"/>
          <w:color w:val="000000"/>
          <w:sz w:val="24"/>
          <w:szCs w:val="24"/>
        </w:rPr>
      </w:pPr>
      <w:r>
        <w:rPr>
          <w:noProof/>
        </w:rPr>
        <w:lastRenderedPageBreak/>
        <w:drawing>
          <wp:inline distT="0" distB="0" distL="0" distR="0" wp14:anchorId="420BA7AD" wp14:editId="383F4C64">
            <wp:extent cx="5943600" cy="7122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122160"/>
                    </a:xfrm>
                    <a:prstGeom prst="rect">
                      <a:avLst/>
                    </a:prstGeom>
                  </pic:spPr>
                </pic:pic>
              </a:graphicData>
            </a:graphic>
          </wp:inline>
        </w:drawing>
      </w:r>
      <w:bookmarkStart w:id="0" w:name="_GoBack"/>
      <w:bookmarkEnd w:id="0"/>
    </w:p>
    <w:sectPr w:rsidR="00D729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75F85"/>
    <w:multiLevelType w:val="multilevel"/>
    <w:tmpl w:val="77822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89156F"/>
    <w:multiLevelType w:val="multilevel"/>
    <w:tmpl w:val="E9307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857309"/>
    <w:multiLevelType w:val="multilevel"/>
    <w:tmpl w:val="C324D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8B10A3"/>
    <w:multiLevelType w:val="multilevel"/>
    <w:tmpl w:val="C23E3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CF2DA2"/>
    <w:multiLevelType w:val="multilevel"/>
    <w:tmpl w:val="D6F29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BB0F9C"/>
    <w:multiLevelType w:val="multilevel"/>
    <w:tmpl w:val="ECE0F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754922"/>
    <w:multiLevelType w:val="multilevel"/>
    <w:tmpl w:val="CF8EF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6"/>
  </w:num>
  <w:num w:numId="4">
    <w:abstractNumId w:val="4"/>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9A1"/>
    <w:rsid w:val="00092CE4"/>
    <w:rsid w:val="001959DC"/>
    <w:rsid w:val="00D729A1"/>
    <w:rsid w:val="00EC1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7DB1A"/>
  <w15:chartTrackingRefBased/>
  <w15:docId w15:val="{821B4C41-0C55-440C-AE89-2A6D4EE47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29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D729A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D729A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729A1"/>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D729A1"/>
    <w:rPr>
      <w:rFonts w:ascii="Times New Roman" w:eastAsia="Times New Roman" w:hAnsi="Times New Roman" w:cs="Times New Roman"/>
      <w:b/>
      <w:bCs/>
      <w:sz w:val="20"/>
      <w:szCs w:val="20"/>
    </w:rPr>
  </w:style>
  <w:style w:type="character" w:customStyle="1" w:styleId="blue3">
    <w:name w:val="blue3"/>
    <w:basedOn w:val="DefaultParagraphFont"/>
    <w:rsid w:val="00D729A1"/>
  </w:style>
  <w:style w:type="character" w:customStyle="1" w:styleId="red2">
    <w:name w:val="red2"/>
    <w:basedOn w:val="DefaultParagraphFont"/>
    <w:rsid w:val="00D729A1"/>
  </w:style>
  <w:style w:type="paragraph" w:styleId="NormalWeb">
    <w:name w:val="Normal (Web)"/>
    <w:basedOn w:val="Normal"/>
    <w:uiPriority w:val="99"/>
    <w:semiHidden/>
    <w:unhideWhenUsed/>
    <w:rsid w:val="00D729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729A1"/>
  </w:style>
  <w:style w:type="character" w:styleId="Hyperlink">
    <w:name w:val="Hyperlink"/>
    <w:basedOn w:val="DefaultParagraphFont"/>
    <w:uiPriority w:val="99"/>
    <w:semiHidden/>
    <w:unhideWhenUsed/>
    <w:rsid w:val="00D729A1"/>
    <w:rPr>
      <w:color w:val="0000FF"/>
      <w:u w:val="single"/>
    </w:rPr>
  </w:style>
  <w:style w:type="paragraph" w:customStyle="1" w:styleId="paralist2">
    <w:name w:val="paralist2"/>
    <w:basedOn w:val="Normal"/>
    <w:rsid w:val="00D729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D729A1"/>
  </w:style>
  <w:style w:type="character" w:customStyle="1" w:styleId="Heading1Char">
    <w:name w:val="Heading 1 Char"/>
    <w:basedOn w:val="DefaultParagraphFont"/>
    <w:link w:val="Heading1"/>
    <w:uiPriority w:val="9"/>
    <w:rsid w:val="00D729A1"/>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rsid w:val="00D729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ber">
    <w:name w:val="chapternumber"/>
    <w:basedOn w:val="DefaultParagraphFont"/>
    <w:rsid w:val="00D729A1"/>
  </w:style>
  <w:style w:type="character" w:customStyle="1" w:styleId="chaptertitle">
    <w:name w:val="chaptertitle"/>
    <w:basedOn w:val="DefaultParagraphFont"/>
    <w:rsid w:val="00D729A1"/>
  </w:style>
  <w:style w:type="character" w:customStyle="1" w:styleId="red1">
    <w:name w:val="red1"/>
    <w:basedOn w:val="DefaultParagraphFont"/>
    <w:rsid w:val="00D729A1"/>
  </w:style>
  <w:style w:type="character" w:styleId="FollowedHyperlink">
    <w:name w:val="FollowedHyperlink"/>
    <w:basedOn w:val="DefaultParagraphFont"/>
    <w:uiPriority w:val="99"/>
    <w:semiHidden/>
    <w:unhideWhenUsed/>
    <w:rsid w:val="00D729A1"/>
    <w:rPr>
      <w:color w:val="800080"/>
      <w:u w:val="single"/>
    </w:rPr>
  </w:style>
  <w:style w:type="character" w:customStyle="1" w:styleId="center">
    <w:name w:val="center"/>
    <w:basedOn w:val="DefaultParagraphFont"/>
    <w:rsid w:val="00D729A1"/>
  </w:style>
  <w:style w:type="paragraph" w:customStyle="1" w:styleId="tablefootnote">
    <w:name w:val="tablefootnote"/>
    <w:basedOn w:val="Normal"/>
    <w:rsid w:val="00D729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665599">
      <w:bodyDiv w:val="1"/>
      <w:marLeft w:val="0"/>
      <w:marRight w:val="0"/>
      <w:marTop w:val="0"/>
      <w:marBottom w:val="0"/>
      <w:divBdr>
        <w:top w:val="none" w:sz="0" w:space="0" w:color="auto"/>
        <w:left w:val="none" w:sz="0" w:space="0" w:color="auto"/>
        <w:bottom w:val="none" w:sz="0" w:space="0" w:color="auto"/>
        <w:right w:val="none" w:sz="0" w:space="0" w:color="auto"/>
      </w:divBdr>
    </w:div>
    <w:div w:id="386147307">
      <w:bodyDiv w:val="1"/>
      <w:marLeft w:val="0"/>
      <w:marRight w:val="0"/>
      <w:marTop w:val="0"/>
      <w:marBottom w:val="0"/>
      <w:divBdr>
        <w:top w:val="none" w:sz="0" w:space="0" w:color="auto"/>
        <w:left w:val="none" w:sz="0" w:space="0" w:color="auto"/>
        <w:bottom w:val="none" w:sz="0" w:space="0" w:color="auto"/>
        <w:right w:val="none" w:sz="0" w:space="0" w:color="auto"/>
      </w:divBdr>
    </w:div>
    <w:div w:id="616909888">
      <w:bodyDiv w:val="1"/>
      <w:marLeft w:val="0"/>
      <w:marRight w:val="0"/>
      <w:marTop w:val="0"/>
      <w:marBottom w:val="0"/>
      <w:divBdr>
        <w:top w:val="none" w:sz="0" w:space="0" w:color="auto"/>
        <w:left w:val="none" w:sz="0" w:space="0" w:color="auto"/>
        <w:bottom w:val="none" w:sz="0" w:space="0" w:color="auto"/>
        <w:right w:val="none" w:sz="0" w:space="0" w:color="auto"/>
      </w:divBdr>
    </w:div>
    <w:div w:id="937983690">
      <w:bodyDiv w:val="1"/>
      <w:marLeft w:val="0"/>
      <w:marRight w:val="0"/>
      <w:marTop w:val="0"/>
      <w:marBottom w:val="0"/>
      <w:divBdr>
        <w:top w:val="none" w:sz="0" w:space="0" w:color="auto"/>
        <w:left w:val="none" w:sz="0" w:space="0" w:color="auto"/>
        <w:bottom w:val="none" w:sz="0" w:space="0" w:color="auto"/>
        <w:right w:val="none" w:sz="0" w:space="0" w:color="auto"/>
      </w:divBdr>
    </w:div>
    <w:div w:id="1526945667">
      <w:bodyDiv w:val="1"/>
      <w:marLeft w:val="0"/>
      <w:marRight w:val="0"/>
      <w:marTop w:val="0"/>
      <w:marBottom w:val="0"/>
      <w:divBdr>
        <w:top w:val="none" w:sz="0" w:space="0" w:color="auto"/>
        <w:left w:val="none" w:sz="0" w:space="0" w:color="auto"/>
        <w:bottom w:val="none" w:sz="0" w:space="0" w:color="auto"/>
        <w:right w:val="none" w:sz="0" w:space="0" w:color="auto"/>
      </w:divBdr>
    </w:div>
    <w:div w:id="1802722688">
      <w:bodyDiv w:val="1"/>
      <w:marLeft w:val="0"/>
      <w:marRight w:val="0"/>
      <w:marTop w:val="0"/>
      <w:marBottom w:val="0"/>
      <w:divBdr>
        <w:top w:val="none" w:sz="0" w:space="0" w:color="auto"/>
        <w:left w:val="none" w:sz="0" w:space="0" w:color="auto"/>
        <w:bottom w:val="none" w:sz="0" w:space="0" w:color="auto"/>
        <w:right w:val="none" w:sz="0" w:space="0" w:color="auto"/>
      </w:divBdr>
    </w:div>
    <w:div w:id="1902401413">
      <w:bodyDiv w:val="1"/>
      <w:marLeft w:val="0"/>
      <w:marRight w:val="0"/>
      <w:marTop w:val="0"/>
      <w:marBottom w:val="0"/>
      <w:divBdr>
        <w:top w:val="none" w:sz="0" w:space="0" w:color="auto"/>
        <w:left w:val="none" w:sz="0" w:space="0" w:color="auto"/>
        <w:bottom w:val="none" w:sz="0" w:space="0" w:color="auto"/>
        <w:right w:val="none" w:sz="0" w:space="0" w:color="auto"/>
      </w:divBdr>
    </w:div>
    <w:div w:id="204173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igsaw.vitalsource.com/books/9781119175179/epub/OEBPS/a03.xhtml"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coca-colacompany.com/investors/"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jigsaw.vitalsource.com/books/9781119175179/epub/OEBPS/a04.xhtml" TargetMode="External"/><Relationship Id="rId11" Type="http://schemas.openxmlformats.org/officeDocument/2006/relationships/image" Target="media/image1.png"/><Relationship Id="rId5" Type="http://schemas.openxmlformats.org/officeDocument/2006/relationships/hyperlink" Target="https://jigsaw.vitalsource.com/books/9781119175179/epub/OEBPS/a03.xhtml" TargetMode="External"/><Relationship Id="rId15" Type="http://schemas.openxmlformats.org/officeDocument/2006/relationships/image" Target="media/image5.png"/><Relationship Id="rId10" Type="http://schemas.openxmlformats.org/officeDocument/2006/relationships/hyperlink" Target="http://www.pepsico.com/Investors" TargetMode="External"/><Relationship Id="rId4" Type="http://schemas.openxmlformats.org/officeDocument/2006/relationships/webSettings" Target="webSettings.xml"/><Relationship Id="rId9" Type="http://schemas.openxmlformats.org/officeDocument/2006/relationships/hyperlink" Target="https://jigsaw.vitalsource.com/books/9781119175179/epub/OEBPS/a03.xhtml"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15</Pages>
  <Words>1961</Words>
  <Characters>11183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Munoz</dc:creator>
  <cp:keywords/>
  <dc:description/>
  <cp:lastModifiedBy>Michaela Munoz</cp:lastModifiedBy>
  <cp:revision>1</cp:revision>
  <dcterms:created xsi:type="dcterms:W3CDTF">2017-06-09T04:10:00Z</dcterms:created>
  <dcterms:modified xsi:type="dcterms:W3CDTF">2017-06-09T04:21:00Z</dcterms:modified>
</cp:coreProperties>
</file>