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1D2A" w:rsidRDefault="00D33660" w:rsidP="00D33660">
      <w:pPr>
        <w:jc w:val="center"/>
        <w:rPr>
          <w:b/>
          <w:u w:val="single"/>
        </w:rPr>
      </w:pPr>
      <w:bookmarkStart w:id="0" w:name="_GoBack"/>
      <w:bookmarkEnd w:id="0"/>
      <w:r w:rsidRPr="00D33660">
        <w:rPr>
          <w:b/>
          <w:u w:val="single"/>
        </w:rPr>
        <w:t>Case Law &amp; Statute Referencing</w:t>
      </w:r>
    </w:p>
    <w:p w:rsidR="00A01E09" w:rsidRDefault="00A01E09" w:rsidP="00D33660">
      <w:pPr>
        <w:jc w:val="center"/>
      </w:pPr>
      <w:r>
        <w:rPr>
          <w:b/>
          <w:u w:val="single"/>
        </w:rPr>
        <w:t>Case Law References</w:t>
      </w:r>
    </w:p>
    <w:p w:rsidR="00D33660" w:rsidRDefault="00D33660" w:rsidP="00D33660">
      <w:pPr>
        <w:pStyle w:val="ListParagraph"/>
        <w:numPr>
          <w:ilvl w:val="0"/>
          <w:numId w:val="1"/>
        </w:numPr>
      </w:pPr>
      <w:r>
        <w:t xml:space="preserve">The first part of any </w:t>
      </w:r>
      <w:r w:rsidR="00FA1D2A">
        <w:t xml:space="preserve">civil </w:t>
      </w:r>
      <w:r>
        <w:t xml:space="preserve">law </w:t>
      </w:r>
      <w:r w:rsidR="00FA1D2A">
        <w:t xml:space="preserve">case </w:t>
      </w:r>
      <w:r>
        <w:t>reference is the name of the plaintiff, followed by a v (stands for</w:t>
      </w:r>
      <w:r w:rsidR="00FA1D2A">
        <w:t xml:space="preserve"> “and” or “against”</w:t>
      </w:r>
      <w:r>
        <w:t xml:space="preserve">) and </w:t>
      </w:r>
      <w:r w:rsidR="00A01E09">
        <w:t>then the name of</w:t>
      </w:r>
      <w:r>
        <w:t xml:space="preserve"> the defendant</w:t>
      </w:r>
      <w:r w:rsidR="00FA1D2A">
        <w:t xml:space="preserve"> all</w:t>
      </w:r>
      <w:r w:rsidR="00A01E09">
        <w:t xml:space="preserve"> in Italics</w:t>
      </w:r>
      <w:r>
        <w:t>.  Next is the year in parentheses</w:t>
      </w:r>
      <w:r w:rsidR="00FA1D2A">
        <w:t xml:space="preserve"> (brackets)</w:t>
      </w:r>
      <w:r>
        <w:t xml:space="preserve">. </w:t>
      </w:r>
      <w:r w:rsidR="00FA1D2A">
        <w:t xml:space="preserve"> If the law report series is </w:t>
      </w:r>
      <w:r w:rsidR="00E335FC">
        <w:t xml:space="preserve">ordered according to year, the year the case was </w:t>
      </w:r>
      <w:r w:rsidR="00E335FC" w:rsidRPr="00E335FC">
        <w:rPr>
          <w:i/>
        </w:rPr>
        <w:t>reported</w:t>
      </w:r>
      <w:r w:rsidR="00FA1D2A">
        <w:t xml:space="preserve"> (such as</w:t>
      </w:r>
      <w:r w:rsidR="00E335FC">
        <w:t xml:space="preserve"> in</w:t>
      </w:r>
      <w:r w:rsidR="00FA1D2A">
        <w:t xml:space="preserve"> the UK Appeal Cases), will be in square brackets. If </w:t>
      </w:r>
      <w:r w:rsidR="00E335FC">
        <w:t xml:space="preserve">the series </w:t>
      </w:r>
      <w:r w:rsidR="00FA1D2A">
        <w:t xml:space="preserve">is based on volume number, (such as in the Commonwealth Law Reports) the year </w:t>
      </w:r>
      <w:r w:rsidR="00E335FC">
        <w:t xml:space="preserve">the case was </w:t>
      </w:r>
      <w:r w:rsidR="00E335FC" w:rsidRPr="00E335FC">
        <w:rPr>
          <w:i/>
        </w:rPr>
        <w:t xml:space="preserve">decided </w:t>
      </w:r>
      <w:r w:rsidR="00FA1D2A">
        <w:t>will be in round brackets.</w:t>
      </w:r>
      <w:r>
        <w:t xml:space="preserve"> </w:t>
      </w:r>
      <w:r w:rsidR="00A01E09">
        <w:t xml:space="preserve">After the year may be </w:t>
      </w:r>
      <w:r w:rsidR="00E335FC">
        <w:t>a</w:t>
      </w:r>
      <w:r w:rsidR="00A01E09">
        <w:t xml:space="preserve"> volume number (as in example number</w:t>
      </w:r>
      <w:r w:rsidR="00E335FC">
        <w:t>s</w:t>
      </w:r>
      <w:r w:rsidR="00A01E09">
        <w:t xml:space="preserve"> 1</w:t>
      </w:r>
      <w:r w:rsidR="00E335FC">
        <w:t xml:space="preserve"> and 2</w:t>
      </w:r>
      <w:r w:rsidR="00FA1D2A">
        <w:t xml:space="preserve">). Volume numbers may be used in two situations: 1. if the series is based on years but has more than one volume for a given year or 2. where the </w:t>
      </w:r>
      <w:r w:rsidR="00E335FC">
        <w:t xml:space="preserve">whole </w:t>
      </w:r>
      <w:r w:rsidR="00FA1D2A">
        <w:t xml:space="preserve">series </w:t>
      </w:r>
      <w:r w:rsidR="00E335FC">
        <w:t xml:space="preserve">appears </w:t>
      </w:r>
      <w:r w:rsidR="00FA1D2A">
        <w:t>in sequentially numbered volumes. Otherwise, where the series is based on year of reporting,</w:t>
      </w:r>
      <w:r w:rsidR="00A01E09">
        <w:t xml:space="preserve"> it could simply be the abbreviation for the law report as in examples </w:t>
      </w:r>
      <w:r w:rsidR="00FA1D2A">
        <w:t xml:space="preserve"> 3</w:t>
      </w:r>
      <w:r w:rsidR="00E335FC">
        <w:t>,</w:t>
      </w:r>
      <w:r w:rsidR="00FA1D2A">
        <w:t xml:space="preserve"> 4</w:t>
      </w:r>
      <w:r w:rsidR="00E335FC">
        <w:t xml:space="preserve"> and 5</w:t>
      </w:r>
      <w:r w:rsidR="00A01E09">
        <w:t xml:space="preserve">.  Finally, the page number where the case begins in the law report.  </w:t>
      </w:r>
    </w:p>
    <w:p w:rsidR="00D33660" w:rsidRDefault="00D33660" w:rsidP="00D33660">
      <w:r w:rsidRPr="00A01E09">
        <w:rPr>
          <w:u w:val="single"/>
        </w:rPr>
        <w:t>Case Law Examples</w:t>
      </w:r>
      <w:r>
        <w:t>:</w:t>
      </w:r>
    </w:p>
    <w:p w:rsidR="00D33660" w:rsidRDefault="00D33660" w:rsidP="00D33660">
      <w:r w:rsidRPr="00D33660">
        <w:rPr>
          <w:i/>
        </w:rPr>
        <w:t xml:space="preserve">Oceanic </w:t>
      </w:r>
      <w:r>
        <w:rPr>
          <w:i/>
        </w:rPr>
        <w:t>Sun Line Special Shipping Co Inc</w:t>
      </w:r>
      <w:r w:rsidRPr="00D33660">
        <w:rPr>
          <w:i/>
        </w:rPr>
        <w:t xml:space="preserve"> v Fay</w:t>
      </w:r>
      <w:r>
        <w:t xml:space="preserve"> (1988) 165 CLR 197</w:t>
      </w:r>
    </w:p>
    <w:p w:rsidR="00E335FC" w:rsidRDefault="00E335FC" w:rsidP="00D33660">
      <w:r w:rsidRPr="00E335FC">
        <w:rPr>
          <w:i/>
        </w:rPr>
        <w:t>Esso Petroleum Ltd v Commissioners of Customs and Excise</w:t>
      </w:r>
      <w:r>
        <w:t xml:space="preserve"> [1976] 1 All ER 117</w:t>
      </w:r>
    </w:p>
    <w:p w:rsidR="00D33660" w:rsidRDefault="00D33660" w:rsidP="00D33660">
      <w:r>
        <w:rPr>
          <w:i/>
        </w:rPr>
        <w:t>Burger King Corp v Hungry Jack’s Pty Ltd</w:t>
      </w:r>
      <w:r>
        <w:t xml:space="preserve"> </w:t>
      </w:r>
      <w:r w:rsidR="00FA1D2A">
        <w:t>[</w:t>
      </w:r>
      <w:r>
        <w:t>2001</w:t>
      </w:r>
      <w:r w:rsidR="00FA1D2A">
        <w:t>]</w:t>
      </w:r>
      <w:r>
        <w:t xml:space="preserve"> NSWCA 187</w:t>
      </w:r>
    </w:p>
    <w:p w:rsidR="00D33660" w:rsidRDefault="00D33660" w:rsidP="00D33660">
      <w:r>
        <w:rPr>
          <w:i/>
        </w:rPr>
        <w:t>Todd v Nicol</w:t>
      </w:r>
      <w:r>
        <w:t xml:space="preserve"> </w:t>
      </w:r>
      <w:r w:rsidR="00FA1D2A">
        <w:t>[</w:t>
      </w:r>
      <w:r>
        <w:t>1957</w:t>
      </w:r>
      <w:r w:rsidR="00FA1D2A">
        <w:t>]</w:t>
      </w:r>
      <w:r>
        <w:t xml:space="preserve"> SASR 72</w:t>
      </w:r>
    </w:p>
    <w:p w:rsidR="00FA1D2A" w:rsidRDefault="00FA1D2A" w:rsidP="00D33660">
      <w:r w:rsidRPr="00FA1D2A">
        <w:rPr>
          <w:i/>
        </w:rPr>
        <w:t>Donoghue v Stevenson</w:t>
      </w:r>
      <w:r>
        <w:t xml:space="preserve"> [1932] AC 562</w:t>
      </w:r>
    </w:p>
    <w:p w:rsidR="00A01E09" w:rsidRPr="00A01E09" w:rsidRDefault="00A01E09" w:rsidP="00A01E09">
      <w:pPr>
        <w:jc w:val="center"/>
        <w:rPr>
          <w:b/>
          <w:u w:val="single"/>
        </w:rPr>
      </w:pPr>
      <w:r>
        <w:rPr>
          <w:b/>
          <w:u w:val="single"/>
        </w:rPr>
        <w:t>Statute References</w:t>
      </w:r>
    </w:p>
    <w:p w:rsidR="00A01E09" w:rsidRDefault="00A01E09" w:rsidP="00A01E09">
      <w:pPr>
        <w:pStyle w:val="ListParagraph"/>
        <w:numPr>
          <w:ilvl w:val="0"/>
          <w:numId w:val="1"/>
        </w:numPr>
      </w:pPr>
      <w:r>
        <w:t>The name of the statute in Italics, followed by the year the statute was passed, then the abbreviation for the parliament which passed the act, and finally the section number and subsection number if referring to a particular section of the statute.</w:t>
      </w:r>
    </w:p>
    <w:p w:rsidR="00A01E09" w:rsidRDefault="00A01E09" w:rsidP="00A01E09">
      <w:r w:rsidRPr="00A01E09">
        <w:rPr>
          <w:u w:val="single"/>
        </w:rPr>
        <w:t>Statute Examples</w:t>
      </w:r>
      <w:r>
        <w:t>:</w:t>
      </w:r>
    </w:p>
    <w:p w:rsidR="00D33660" w:rsidRDefault="00A01E09" w:rsidP="00D33660">
      <w:r>
        <w:rPr>
          <w:i/>
        </w:rPr>
        <w:t xml:space="preserve">Corporations Act </w:t>
      </w:r>
      <w:r w:rsidRPr="00A01E09">
        <w:t>2001</w:t>
      </w:r>
      <w:r>
        <w:t xml:space="preserve"> (Cth) s 124(1)</w:t>
      </w:r>
    </w:p>
    <w:p w:rsidR="00A01E09" w:rsidRDefault="00A01E09" w:rsidP="00D33660">
      <w:r w:rsidRPr="00A01E09">
        <w:rPr>
          <w:i/>
        </w:rPr>
        <w:t>Competition and Consumer Act</w:t>
      </w:r>
      <w:r>
        <w:t xml:space="preserve"> 2010 (Cth)</w:t>
      </w:r>
    </w:p>
    <w:p w:rsidR="00A01E09" w:rsidRPr="00A01E09" w:rsidRDefault="00A01E09" w:rsidP="00D33660">
      <w:r w:rsidRPr="00A01E09">
        <w:rPr>
          <w:i/>
        </w:rPr>
        <w:t>Goods Act</w:t>
      </w:r>
      <w:r>
        <w:t xml:space="preserve"> 1958 (Vic)</w:t>
      </w:r>
    </w:p>
    <w:p w:rsidR="00D33660" w:rsidRPr="00D33660" w:rsidRDefault="00D33660" w:rsidP="00D33660"/>
    <w:sectPr w:rsidR="00D33660" w:rsidRPr="00D336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AD754B"/>
    <w:multiLevelType w:val="hybridMultilevel"/>
    <w:tmpl w:val="B73033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660"/>
    <w:rsid w:val="000055CD"/>
    <w:rsid w:val="00062606"/>
    <w:rsid w:val="007F31EC"/>
    <w:rsid w:val="00A01E09"/>
    <w:rsid w:val="00AE4AFB"/>
    <w:rsid w:val="00D33660"/>
    <w:rsid w:val="00E335FC"/>
    <w:rsid w:val="00FA1D2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7C30F0-DA47-4260-8033-187B5532F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36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255</Words>
  <Characters>1455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Ballarat</Company>
  <LinksUpToDate>false</LinksUpToDate>
  <CharactersWithSpaces>1707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HP-8200</dc:creator>
  <cp:lastModifiedBy>Philippa Wells</cp:lastModifiedBy>
  <cp:revision>2</cp:revision>
  <dcterms:created xsi:type="dcterms:W3CDTF">2015-10-13T04:36:00Z</dcterms:created>
  <dcterms:modified xsi:type="dcterms:W3CDTF">2015-10-13T04:36:00Z</dcterms:modified>
</cp:coreProperties>
</file>