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AB1" w:rsidRPr="003D3AB1" w:rsidRDefault="003D3AB1" w:rsidP="003D3AB1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C74A1A"/>
          <w:sz w:val="24"/>
          <w:szCs w:val="24"/>
        </w:rPr>
      </w:pPr>
      <w:r w:rsidRPr="003D3AB1">
        <w:rPr>
          <w:rFonts w:ascii="inherit" w:eastAsia="Times New Roman" w:hAnsi="inherit" w:cs="Arial"/>
          <w:b/>
          <w:bCs/>
          <w:color w:val="23408F"/>
          <w:sz w:val="24"/>
          <w:szCs w:val="24"/>
          <w:bdr w:val="none" w:sz="0" w:space="0" w:color="auto" w:frame="1"/>
        </w:rPr>
        <w:t>Financial Statement Analysis Cases</w:t>
      </w:r>
    </w:p>
    <w:p w:rsidR="003D3AB1" w:rsidRPr="003D3AB1" w:rsidRDefault="003D3AB1" w:rsidP="003D3AB1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007A48"/>
          <w:sz w:val="24"/>
          <w:szCs w:val="24"/>
        </w:rPr>
      </w:pPr>
      <w:r w:rsidRPr="003D3AB1">
        <w:rPr>
          <w:rFonts w:ascii="inherit" w:eastAsia="Times New Roman" w:hAnsi="inherit" w:cs="Arial"/>
          <w:b/>
          <w:bCs/>
          <w:color w:val="EE1C25"/>
          <w:sz w:val="24"/>
          <w:szCs w:val="24"/>
          <w:bdr w:val="none" w:sz="0" w:space="0" w:color="auto" w:frame="1"/>
        </w:rPr>
        <w:t>Case 1: Occidental Petroleum Corporation</w:t>
      </w:r>
    </w:p>
    <w:p w:rsidR="003D3AB1" w:rsidRPr="003D3AB1" w:rsidRDefault="003D3AB1" w:rsidP="003D3AB1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3D3AB1">
        <w:rPr>
          <w:rFonts w:ascii="inherit" w:eastAsia="Times New Roman" w:hAnsi="inherit" w:cs="Times New Roman"/>
          <w:b/>
          <w:bCs/>
          <w:color w:val="EE1C25"/>
          <w:sz w:val="24"/>
          <w:szCs w:val="24"/>
          <w:bdr w:val="none" w:sz="0" w:space="0" w:color="auto" w:frame="1"/>
        </w:rPr>
        <w:t>Occidental Petroleum Corporation</w:t>
      </w:r>
      <w:r w:rsidRPr="003D3AB1">
        <w:rPr>
          <w:rFonts w:ascii="Georgia" w:eastAsia="Times New Roman" w:hAnsi="Georgia" w:cs="Times New Roman"/>
          <w:color w:val="000000"/>
          <w:sz w:val="24"/>
          <w:szCs w:val="24"/>
        </w:rPr>
        <w:t> reported the following information in a recent annual report.</w:t>
      </w:r>
    </w:p>
    <w:p w:rsidR="00092CE4" w:rsidRDefault="00092CE4" w:rsidP="003D3AB1"/>
    <w:p w:rsidR="003D3AB1" w:rsidRDefault="003D3AB1" w:rsidP="003D3AB1">
      <w:r>
        <w:rPr>
          <w:noProof/>
        </w:rPr>
        <w:drawing>
          <wp:inline distT="0" distB="0" distL="0" distR="0" wp14:anchorId="6FFE34A1" wp14:editId="58C56E46">
            <wp:extent cx="5943600" cy="39573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AB1" w:rsidRDefault="003D3AB1" w:rsidP="003D3AB1">
      <w:pPr>
        <w:pStyle w:val="Heading5"/>
        <w:spacing w:before="120" w:beforeAutospacing="0" w:after="0" w:afterAutospacing="0"/>
        <w:textAlignment w:val="baseline"/>
        <w:rPr>
          <w:rFonts w:ascii="Arial" w:hAnsi="Arial" w:cs="Arial"/>
          <w:color w:val="008DD4"/>
          <w:sz w:val="24"/>
          <w:szCs w:val="24"/>
        </w:rPr>
      </w:pPr>
      <w:r>
        <w:rPr>
          <w:rFonts w:ascii="Arial" w:hAnsi="Arial" w:cs="Arial"/>
          <w:color w:val="008DD4"/>
          <w:sz w:val="24"/>
          <w:szCs w:val="24"/>
        </w:rPr>
        <w:t>Instructions</w:t>
      </w:r>
    </w:p>
    <w:p w:rsidR="003D3AB1" w:rsidRDefault="003D3AB1" w:rsidP="003D3AB1">
      <w:pPr>
        <w:pStyle w:val="paralist1"/>
        <w:spacing w:before="0" w:beforeAutospacing="0" w:after="0" w:afterAutospacing="0"/>
        <w:ind w:left="480"/>
        <w:jc w:val="both"/>
        <w:textAlignment w:val="baseline"/>
        <w:rPr>
          <w:rFonts w:ascii="Georgia" w:hAnsi="Georgia"/>
          <w:color w:val="000000"/>
        </w:rPr>
      </w:pPr>
      <w:r>
        <w:rPr>
          <w:rStyle w:val="label"/>
          <w:rFonts w:ascii="inherit" w:hAnsi="inherit"/>
          <w:b/>
          <w:bCs/>
          <w:color w:val="000000"/>
          <w:bdr w:val="none" w:sz="0" w:space="0" w:color="auto" w:frame="1"/>
        </w:rPr>
        <w:t>(a)</w:t>
      </w:r>
      <w:r>
        <w:rPr>
          <w:rFonts w:ascii="Georgia" w:hAnsi="Georgia"/>
          <w:color w:val="000000"/>
        </w:rPr>
        <w:t>What items other than coin and currency may be included in “cash”?</w:t>
      </w:r>
    </w:p>
    <w:p w:rsidR="003D3AB1" w:rsidRDefault="003D3AB1" w:rsidP="003D3AB1">
      <w:pPr>
        <w:pStyle w:val="paralist1"/>
        <w:spacing w:before="0" w:beforeAutospacing="0" w:after="0" w:afterAutospacing="0"/>
        <w:ind w:left="480"/>
        <w:jc w:val="both"/>
        <w:textAlignment w:val="baseline"/>
        <w:rPr>
          <w:rFonts w:ascii="Georgia" w:hAnsi="Georgia"/>
          <w:color w:val="000000"/>
        </w:rPr>
      </w:pPr>
      <w:r>
        <w:rPr>
          <w:rStyle w:val="label"/>
          <w:rFonts w:ascii="inherit" w:hAnsi="inherit"/>
          <w:b/>
          <w:bCs/>
          <w:color w:val="000000"/>
          <w:bdr w:val="none" w:sz="0" w:space="0" w:color="auto" w:frame="1"/>
        </w:rPr>
        <w:t>(b)</w:t>
      </w:r>
      <w:r>
        <w:rPr>
          <w:rFonts w:ascii="Georgia" w:hAnsi="Georgia"/>
          <w:color w:val="000000"/>
        </w:rPr>
        <w:t>What items may be included in “cash equivalents”?</w:t>
      </w:r>
    </w:p>
    <w:p w:rsidR="003D3AB1" w:rsidRDefault="003D3AB1" w:rsidP="003D3AB1">
      <w:pPr>
        <w:pStyle w:val="paralist1"/>
        <w:spacing w:before="0" w:beforeAutospacing="0" w:after="0" w:afterAutospacing="0"/>
        <w:ind w:left="480"/>
        <w:jc w:val="both"/>
        <w:textAlignment w:val="baseline"/>
        <w:rPr>
          <w:rFonts w:ascii="Georgia" w:hAnsi="Georgia"/>
          <w:color w:val="000000"/>
        </w:rPr>
      </w:pPr>
      <w:r>
        <w:rPr>
          <w:rStyle w:val="label"/>
          <w:rFonts w:ascii="inherit" w:hAnsi="inherit"/>
          <w:b/>
          <w:bCs/>
          <w:color w:val="000000"/>
          <w:bdr w:val="none" w:sz="0" w:space="0" w:color="auto" w:frame="1"/>
        </w:rPr>
        <w:t>(c)</w:t>
      </w:r>
      <w:r>
        <w:rPr>
          <w:rFonts w:ascii="Georgia" w:hAnsi="Georgia"/>
          <w:color w:val="000000"/>
        </w:rPr>
        <w:t>What are compensating balance arrangements, and how should they be reported in financial statements?</w:t>
      </w:r>
    </w:p>
    <w:p w:rsidR="003D3AB1" w:rsidRDefault="003D3AB1" w:rsidP="003D3AB1">
      <w:pPr>
        <w:pStyle w:val="paralist1"/>
        <w:spacing w:before="0" w:beforeAutospacing="0" w:after="0" w:afterAutospacing="0"/>
        <w:ind w:left="480"/>
        <w:jc w:val="both"/>
        <w:textAlignment w:val="baseline"/>
        <w:rPr>
          <w:rFonts w:ascii="Georgia" w:hAnsi="Georgia"/>
          <w:color w:val="000000"/>
        </w:rPr>
      </w:pPr>
      <w:r>
        <w:rPr>
          <w:rStyle w:val="label"/>
          <w:rFonts w:ascii="inherit" w:hAnsi="inherit"/>
          <w:b/>
          <w:bCs/>
          <w:color w:val="000000"/>
          <w:bdr w:val="none" w:sz="0" w:space="0" w:color="auto" w:frame="1"/>
        </w:rPr>
        <w:t>(d)</w:t>
      </w:r>
      <w:r>
        <w:rPr>
          <w:rFonts w:ascii="Georgia" w:hAnsi="Georgia"/>
          <w:color w:val="000000"/>
        </w:rPr>
        <w:t>What are the possible differences between cash equivalents and short-term (temporary) investments?</w:t>
      </w:r>
    </w:p>
    <w:p w:rsidR="003D3AB1" w:rsidRDefault="003D3AB1" w:rsidP="003D3AB1">
      <w:pPr>
        <w:pStyle w:val="paralist1"/>
        <w:spacing w:before="0" w:beforeAutospacing="0" w:after="0" w:afterAutospacing="0"/>
        <w:ind w:left="480"/>
        <w:jc w:val="both"/>
        <w:textAlignment w:val="baseline"/>
        <w:rPr>
          <w:rFonts w:ascii="Georgia" w:hAnsi="Georgia"/>
          <w:color w:val="000000"/>
        </w:rPr>
      </w:pPr>
      <w:r>
        <w:rPr>
          <w:rStyle w:val="label"/>
          <w:rFonts w:ascii="inherit" w:hAnsi="inherit"/>
          <w:b/>
          <w:bCs/>
          <w:color w:val="000000"/>
          <w:bdr w:val="none" w:sz="0" w:space="0" w:color="auto" w:frame="1"/>
        </w:rPr>
        <w:t>(e)</w:t>
      </w:r>
      <w:r>
        <w:rPr>
          <w:rFonts w:ascii="Georgia" w:hAnsi="Georgia"/>
          <w:color w:val="000000"/>
        </w:rPr>
        <w:t>Assuming that the sale agreement meets the criteria for sale accounting, cash proceeds were $345 million, the carrying value of the receivables sold was $360 million, and the fair value of the recourse liability was $15 million, what was the effect on income from the sale of receivables?</w:t>
      </w:r>
    </w:p>
    <w:p w:rsidR="003D3AB1" w:rsidRDefault="003D3AB1" w:rsidP="003D3AB1">
      <w:pPr>
        <w:pStyle w:val="paralist1"/>
        <w:spacing w:before="0" w:beforeAutospacing="0" w:after="0" w:afterAutospacing="0"/>
        <w:ind w:left="480"/>
        <w:jc w:val="both"/>
        <w:textAlignment w:val="baseline"/>
        <w:rPr>
          <w:rFonts w:ascii="Georgia" w:hAnsi="Georgia"/>
          <w:color w:val="000000"/>
        </w:rPr>
      </w:pPr>
      <w:r>
        <w:rPr>
          <w:rStyle w:val="label"/>
          <w:rFonts w:ascii="inherit" w:hAnsi="inherit"/>
          <w:b/>
          <w:bCs/>
          <w:color w:val="000000"/>
          <w:bdr w:val="none" w:sz="0" w:space="0" w:color="auto" w:frame="1"/>
        </w:rPr>
        <w:t>(f)</w:t>
      </w:r>
      <w:r>
        <w:rPr>
          <w:rFonts w:ascii="Georgia" w:hAnsi="Georgia"/>
          <w:color w:val="000000"/>
        </w:rPr>
        <w:t>Briefly discuss the impact of the transaction in (e) on Occidental’s liquidity.</w:t>
      </w:r>
    </w:p>
    <w:p w:rsidR="003D3AB1" w:rsidRPr="003D3AB1" w:rsidRDefault="003D3AB1" w:rsidP="003D3AB1">
      <w:bookmarkStart w:id="0" w:name="_GoBack"/>
      <w:bookmarkEnd w:id="0"/>
    </w:p>
    <w:sectPr w:rsidR="003D3AB1" w:rsidRPr="003D3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F38D9"/>
    <w:multiLevelType w:val="multilevel"/>
    <w:tmpl w:val="5CD0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B1"/>
    <w:rsid w:val="00092CE4"/>
    <w:rsid w:val="003D3AB1"/>
    <w:rsid w:val="00EC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7977"/>
  <w15:chartTrackingRefBased/>
  <w15:docId w15:val="{FECD534B-2435-43CA-941B-B3E2D7A9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D3A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3D3A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3D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3AB1"/>
    <w:rPr>
      <w:b/>
      <w:bCs/>
    </w:rPr>
  </w:style>
  <w:style w:type="character" w:customStyle="1" w:styleId="apple-converted-space">
    <w:name w:val="apple-converted-space"/>
    <w:basedOn w:val="DefaultParagraphFont"/>
    <w:rsid w:val="003D3AB1"/>
  </w:style>
  <w:style w:type="character" w:customStyle="1" w:styleId="Heading4Char">
    <w:name w:val="Heading 4 Char"/>
    <w:basedOn w:val="DefaultParagraphFont"/>
    <w:link w:val="Heading4"/>
    <w:uiPriority w:val="9"/>
    <w:rsid w:val="003D3A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D3AB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lue3">
    <w:name w:val="blue3"/>
    <w:basedOn w:val="DefaultParagraphFont"/>
    <w:rsid w:val="003D3AB1"/>
  </w:style>
  <w:style w:type="character" w:customStyle="1" w:styleId="red2">
    <w:name w:val="red2"/>
    <w:basedOn w:val="DefaultParagraphFont"/>
    <w:rsid w:val="003D3AB1"/>
  </w:style>
  <w:style w:type="paragraph" w:styleId="NormalWeb">
    <w:name w:val="Normal (Web)"/>
    <w:basedOn w:val="Normal"/>
    <w:uiPriority w:val="99"/>
    <w:semiHidden/>
    <w:unhideWhenUsed/>
    <w:rsid w:val="003D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1">
    <w:name w:val="red1"/>
    <w:basedOn w:val="DefaultParagraphFont"/>
    <w:rsid w:val="003D3AB1"/>
  </w:style>
  <w:style w:type="paragraph" w:customStyle="1" w:styleId="paralist1">
    <w:name w:val="paralist1"/>
    <w:basedOn w:val="Normal"/>
    <w:rsid w:val="003D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3D3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Munoz</dc:creator>
  <cp:keywords/>
  <dc:description/>
  <cp:lastModifiedBy>Michaela Munoz</cp:lastModifiedBy>
  <cp:revision>1</cp:revision>
  <dcterms:created xsi:type="dcterms:W3CDTF">2017-05-13T04:19:00Z</dcterms:created>
  <dcterms:modified xsi:type="dcterms:W3CDTF">2017-05-13T04:20:00Z</dcterms:modified>
</cp:coreProperties>
</file>