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88" w:rsidRPr="002E4D4B" w:rsidRDefault="00573388" w:rsidP="00236266"/>
    <w:tbl>
      <w:tblPr>
        <w:tblStyle w:val="TableGrid"/>
        <w:tblpPr w:leftFromText="180" w:rightFromText="180" w:vertAnchor="page" w:horzAnchor="margin" w:tblpY="2221"/>
        <w:tblW w:w="14238" w:type="dxa"/>
        <w:tblLook w:val="04A0" w:firstRow="1" w:lastRow="0" w:firstColumn="1" w:lastColumn="0" w:noHBand="0" w:noVBand="1"/>
      </w:tblPr>
      <w:tblGrid>
        <w:gridCol w:w="2410"/>
        <w:gridCol w:w="3942"/>
        <w:gridCol w:w="3943"/>
        <w:gridCol w:w="3943"/>
      </w:tblGrid>
      <w:tr w:rsidR="005E6946" w:rsidRPr="000F6906" w:rsidTr="002E127C">
        <w:tc>
          <w:tcPr>
            <w:tcW w:w="2410" w:type="dxa"/>
            <w:shd w:val="clear" w:color="auto" w:fill="auto"/>
          </w:tcPr>
          <w:p w:rsidR="005E6946" w:rsidRPr="00F87EFA" w:rsidRDefault="005E6946" w:rsidP="003B149F">
            <w:pPr>
              <w:tabs>
                <w:tab w:val="left" w:pos="2880"/>
                <w:tab w:val="left" w:pos="3420"/>
              </w:tabs>
              <w:jc w:val="center"/>
              <w:rPr>
                <w:b/>
              </w:rPr>
            </w:pPr>
            <w:r w:rsidRPr="00F87EFA">
              <w:rPr>
                <w:b/>
              </w:rPr>
              <w:t>Pronouncement</w:t>
            </w:r>
          </w:p>
        </w:tc>
        <w:tc>
          <w:tcPr>
            <w:tcW w:w="3942" w:type="dxa"/>
          </w:tcPr>
          <w:p w:rsidR="005E6946" w:rsidRPr="000F6906" w:rsidRDefault="005E6946" w:rsidP="003B149F">
            <w:pPr>
              <w:tabs>
                <w:tab w:val="left" w:pos="2880"/>
                <w:tab w:val="left" w:pos="3420"/>
              </w:tabs>
              <w:jc w:val="center"/>
              <w:rPr>
                <w:b/>
              </w:rPr>
            </w:pPr>
            <w:r w:rsidRPr="000F6906">
              <w:rPr>
                <w:b/>
              </w:rPr>
              <w:t>Describe what the company is currently doing under GAAP.</w:t>
            </w:r>
          </w:p>
        </w:tc>
        <w:tc>
          <w:tcPr>
            <w:tcW w:w="3943" w:type="dxa"/>
          </w:tcPr>
          <w:p w:rsidR="005E6946" w:rsidRPr="000F6906" w:rsidRDefault="005E6946" w:rsidP="003B149F">
            <w:pPr>
              <w:tabs>
                <w:tab w:val="left" w:pos="2880"/>
                <w:tab w:val="left" w:pos="3420"/>
              </w:tabs>
              <w:jc w:val="center"/>
              <w:rPr>
                <w:b/>
              </w:rPr>
            </w:pPr>
            <w:r w:rsidRPr="000F6906">
              <w:rPr>
                <w:b/>
              </w:rPr>
              <w:t>What changes will occur under IFRS?</w:t>
            </w:r>
          </w:p>
        </w:tc>
        <w:tc>
          <w:tcPr>
            <w:tcW w:w="3943" w:type="dxa"/>
          </w:tcPr>
          <w:p w:rsidR="005E6946" w:rsidRPr="000F6906" w:rsidRDefault="005E6946" w:rsidP="003B149F">
            <w:pPr>
              <w:tabs>
                <w:tab w:val="left" w:pos="2880"/>
                <w:tab w:val="left" w:pos="3420"/>
              </w:tabs>
              <w:jc w:val="center"/>
              <w:rPr>
                <w:b/>
              </w:rPr>
            </w:pPr>
            <w:r w:rsidRPr="000F6906">
              <w:rPr>
                <w:b/>
              </w:rPr>
              <w:t>How will the transition to IFRS impact the company?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r w:rsidRPr="007A3640">
              <w:t xml:space="preserve">IFRS 1: First-time Adoption of International Financial Reporting Standards </w:t>
            </w:r>
          </w:p>
        </w:tc>
        <w:tc>
          <w:tcPr>
            <w:tcW w:w="3942" w:type="dxa"/>
          </w:tcPr>
          <w:p w:rsidR="005E6946" w:rsidRPr="000F6906" w:rsidRDefault="00061DEA" w:rsidP="003B149F">
            <w:pPr>
              <w:tabs>
                <w:tab w:val="left" w:pos="2880"/>
                <w:tab w:val="left" w:pos="3420"/>
              </w:tabs>
            </w:pPr>
            <w:r>
              <w:t>Included a reconciliation of selected figures from GAAP to IFRS</w:t>
            </w:r>
          </w:p>
        </w:tc>
        <w:tc>
          <w:tcPr>
            <w:tcW w:w="3943" w:type="dxa"/>
          </w:tcPr>
          <w:p w:rsidR="005E6946" w:rsidRPr="000F6906" w:rsidRDefault="004F280A" w:rsidP="003B149F">
            <w:pPr>
              <w:tabs>
                <w:tab w:val="left" w:pos="2880"/>
                <w:tab w:val="left" w:pos="3420"/>
              </w:tabs>
            </w:pPr>
            <w:r>
              <w:t>Compliance with IFRS standards irrespective of the auditor’s report</w:t>
            </w:r>
          </w:p>
        </w:tc>
        <w:tc>
          <w:tcPr>
            <w:tcW w:w="3943" w:type="dxa"/>
          </w:tcPr>
          <w:p w:rsidR="005E6946" w:rsidRPr="00573388" w:rsidRDefault="00061DEA" w:rsidP="003B149F">
            <w:pPr>
              <w:tabs>
                <w:tab w:val="left" w:pos="2880"/>
                <w:tab w:val="left" w:pos="3420"/>
              </w:tabs>
            </w:pPr>
            <w:r>
              <w:t xml:space="preserve">Mandatory reconciliation between IFRS and GAAP would take place for conformity 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r w:rsidRPr="007A3640">
              <w:t>IFRS 15:</w:t>
            </w:r>
            <w:r>
              <w:t xml:space="preserve"> </w:t>
            </w:r>
            <w:r w:rsidRPr="007A3640">
              <w:t xml:space="preserve">Revenue from Contracts with Customers </w:t>
            </w:r>
          </w:p>
        </w:tc>
        <w:tc>
          <w:tcPr>
            <w:tcW w:w="3942" w:type="dxa"/>
          </w:tcPr>
          <w:p w:rsidR="005E6946" w:rsidRPr="000F6906" w:rsidRDefault="00FF3372" w:rsidP="003B149F">
            <w:pPr>
              <w:tabs>
                <w:tab w:val="left" w:pos="2880"/>
                <w:tab w:val="left" w:pos="3420"/>
              </w:tabs>
            </w:pPr>
            <w:r>
              <w:t>Entity did not depict the transfer of goods and services based on contracts</w:t>
            </w:r>
          </w:p>
        </w:tc>
        <w:tc>
          <w:tcPr>
            <w:tcW w:w="3943" w:type="dxa"/>
          </w:tcPr>
          <w:p w:rsidR="005E6946" w:rsidRPr="000F6906" w:rsidRDefault="00A45A60" w:rsidP="003B149F">
            <w:pPr>
              <w:tabs>
                <w:tab w:val="left" w:pos="2880"/>
                <w:tab w:val="left" w:pos="3420"/>
              </w:tabs>
            </w:pPr>
            <w:r>
              <w:t>Entities use principles to report information about consumers regarding the financial statements on the time, nature and revenues obtained from a contract with a customer</w:t>
            </w:r>
          </w:p>
        </w:tc>
        <w:tc>
          <w:tcPr>
            <w:tcW w:w="3943" w:type="dxa"/>
          </w:tcPr>
          <w:p w:rsidR="005E6946" w:rsidRPr="000F6906" w:rsidRDefault="00FF3372" w:rsidP="003B149F">
            <w:pPr>
              <w:tabs>
                <w:tab w:val="left" w:pos="2880"/>
                <w:tab w:val="left" w:pos="3420"/>
              </w:tabs>
            </w:pPr>
            <w:r>
              <w:t xml:space="preserve">Entity recognizes the revenue depicting the transfer of promised goods and services 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r w:rsidRPr="007A3640">
              <w:t xml:space="preserve">IAS 1:Presentation of Financial Statements </w:t>
            </w:r>
          </w:p>
        </w:tc>
        <w:tc>
          <w:tcPr>
            <w:tcW w:w="3942" w:type="dxa"/>
          </w:tcPr>
          <w:p w:rsidR="005E6946" w:rsidRPr="000F6906" w:rsidRDefault="00FC1F83" w:rsidP="003B149F">
            <w:pPr>
              <w:tabs>
                <w:tab w:val="left" w:pos="2880"/>
                <w:tab w:val="left" w:pos="3420"/>
              </w:tabs>
            </w:pPr>
            <w:r>
              <w:t>GAAP standards of balance sheets, statements of profit and loss for the financial year</w:t>
            </w:r>
          </w:p>
        </w:tc>
        <w:tc>
          <w:tcPr>
            <w:tcW w:w="3943" w:type="dxa"/>
          </w:tcPr>
          <w:p w:rsidR="005E6946" w:rsidRPr="000F6906" w:rsidRDefault="00FC1F83" w:rsidP="00FC1F83">
            <w:pPr>
              <w:tabs>
                <w:tab w:val="left" w:pos="2880"/>
                <w:tab w:val="left" w:pos="3420"/>
              </w:tabs>
            </w:pPr>
            <w:r>
              <w:t xml:space="preserve">Identify the financial statements, which must get separate from other statements. </w:t>
            </w:r>
          </w:p>
        </w:tc>
        <w:tc>
          <w:tcPr>
            <w:tcW w:w="3943" w:type="dxa"/>
          </w:tcPr>
          <w:p w:rsidR="005E6946" w:rsidRPr="000F6906" w:rsidRDefault="00FC1F83" w:rsidP="003B149F">
            <w:pPr>
              <w:tabs>
                <w:tab w:val="left" w:pos="2880"/>
                <w:tab w:val="left" w:pos="3420"/>
              </w:tabs>
            </w:pPr>
            <w:r>
              <w:t>Reveal the name of the reporting  company, and indicate the changes that occurred to names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7A3640" w:rsidRDefault="005E6946" w:rsidP="003B149F">
            <w:r w:rsidRPr="007A3640">
              <w:t xml:space="preserve">IAS 7: Statement of Cash Flow </w:t>
            </w:r>
          </w:p>
          <w:p w:rsidR="005E6946" w:rsidRPr="000F6906" w:rsidRDefault="005E6946" w:rsidP="003B149F">
            <w:pPr>
              <w:tabs>
                <w:tab w:val="left" w:pos="2880"/>
                <w:tab w:val="left" w:pos="3420"/>
              </w:tabs>
              <w:ind w:left="360"/>
            </w:pPr>
          </w:p>
        </w:tc>
        <w:tc>
          <w:tcPr>
            <w:tcW w:w="3942" w:type="dxa"/>
          </w:tcPr>
          <w:p w:rsidR="005E6946" w:rsidRPr="000F6906" w:rsidRDefault="00414580" w:rsidP="003B149F">
            <w:pPr>
              <w:tabs>
                <w:tab w:val="left" w:pos="2880"/>
                <w:tab w:val="left" w:pos="3420"/>
              </w:tabs>
            </w:pPr>
            <w:r>
              <w:t>Relies on indirect GAAP entry standards</w:t>
            </w:r>
          </w:p>
        </w:tc>
        <w:tc>
          <w:tcPr>
            <w:tcW w:w="3943" w:type="dxa"/>
          </w:tcPr>
          <w:p w:rsidR="005E6946" w:rsidRPr="000F6906" w:rsidRDefault="00FC1F83" w:rsidP="003B149F">
            <w:pPr>
              <w:tabs>
                <w:tab w:val="left" w:pos="2880"/>
                <w:tab w:val="left" w:pos="3420"/>
              </w:tabs>
            </w:pPr>
            <w:r>
              <w:t>Direct entry method is preferable</w:t>
            </w:r>
            <w:r w:rsidR="00414580">
              <w:t>, though indirect method is acceptable during entry</w:t>
            </w:r>
            <w:r>
              <w:t xml:space="preserve"> </w:t>
            </w:r>
          </w:p>
        </w:tc>
        <w:tc>
          <w:tcPr>
            <w:tcW w:w="3943" w:type="dxa"/>
          </w:tcPr>
          <w:p w:rsidR="005E6946" w:rsidRPr="000F6906" w:rsidRDefault="00414580" w:rsidP="003B149F">
            <w:pPr>
              <w:tabs>
                <w:tab w:val="left" w:pos="2880"/>
                <w:tab w:val="left" w:pos="3420"/>
              </w:tabs>
            </w:pPr>
            <w:r>
              <w:t>Ensuring that all statements conform to the IFRS standards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r w:rsidRPr="007A3640">
              <w:t xml:space="preserve">IFRS 13:Fair Value Measurement </w:t>
            </w:r>
          </w:p>
        </w:tc>
        <w:tc>
          <w:tcPr>
            <w:tcW w:w="3942" w:type="dxa"/>
          </w:tcPr>
          <w:p w:rsidR="005E6946" w:rsidRPr="000F6906" w:rsidRDefault="00414580" w:rsidP="00414580">
            <w:pPr>
              <w:tabs>
                <w:tab w:val="left" w:pos="2880"/>
                <w:tab w:val="left" w:pos="3420"/>
              </w:tabs>
            </w:pPr>
            <w:r>
              <w:t>Relies on entity specific measurement</w:t>
            </w:r>
          </w:p>
        </w:tc>
        <w:tc>
          <w:tcPr>
            <w:tcW w:w="3943" w:type="dxa"/>
          </w:tcPr>
          <w:p w:rsidR="005E6946" w:rsidRPr="000F6906" w:rsidRDefault="00414580" w:rsidP="003B149F">
            <w:pPr>
              <w:tabs>
                <w:tab w:val="left" w:pos="2880"/>
                <w:tab w:val="left" w:pos="3420"/>
              </w:tabs>
            </w:pPr>
            <w:r>
              <w:t>Using fair-value hierarchy, which is market -based</w:t>
            </w:r>
          </w:p>
        </w:tc>
        <w:tc>
          <w:tcPr>
            <w:tcW w:w="3943" w:type="dxa"/>
          </w:tcPr>
          <w:p w:rsidR="005E6946" w:rsidRPr="000F6906" w:rsidRDefault="00414580" w:rsidP="003B149F">
            <w:pPr>
              <w:tabs>
                <w:tab w:val="left" w:pos="2880"/>
                <w:tab w:val="left" w:pos="3420"/>
              </w:tabs>
            </w:pPr>
            <w:r>
              <w:t xml:space="preserve">Disclosures on fair-values </w:t>
            </w:r>
            <w:r w:rsidR="00F71D02">
              <w:t>measurements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7A3640" w:rsidRDefault="005E6946" w:rsidP="003B149F">
            <w:r w:rsidRPr="007A3640">
              <w:t xml:space="preserve">IAS 2: Inventory Accounting </w:t>
            </w:r>
          </w:p>
          <w:p w:rsidR="005E6946" w:rsidRPr="000F6906" w:rsidRDefault="005E6946" w:rsidP="003B149F"/>
        </w:tc>
        <w:tc>
          <w:tcPr>
            <w:tcW w:w="3942" w:type="dxa"/>
          </w:tcPr>
          <w:p w:rsidR="005E6946" w:rsidRPr="000F6906" w:rsidRDefault="00F71D02" w:rsidP="003B149F">
            <w:pPr>
              <w:tabs>
                <w:tab w:val="left" w:pos="2880"/>
                <w:tab w:val="left" w:pos="3420"/>
              </w:tabs>
            </w:pPr>
            <w:r>
              <w:t xml:space="preserve">Recognized  present tax consequences </w:t>
            </w:r>
          </w:p>
        </w:tc>
        <w:tc>
          <w:tcPr>
            <w:tcW w:w="3943" w:type="dxa"/>
          </w:tcPr>
          <w:p w:rsidR="005E6946" w:rsidRPr="000F6906" w:rsidRDefault="00F71D02" w:rsidP="003B149F">
            <w:pPr>
              <w:tabs>
                <w:tab w:val="left" w:pos="2880"/>
                <w:tab w:val="left" w:pos="3420"/>
              </w:tabs>
            </w:pPr>
            <w:r>
              <w:t xml:space="preserve">Recognizes both current tax consequences and future tax consequences </w:t>
            </w:r>
          </w:p>
        </w:tc>
        <w:tc>
          <w:tcPr>
            <w:tcW w:w="3943" w:type="dxa"/>
          </w:tcPr>
          <w:p w:rsidR="005E6946" w:rsidRPr="000F6906" w:rsidRDefault="00F71D02" w:rsidP="003B149F">
            <w:pPr>
              <w:tabs>
                <w:tab w:val="left" w:pos="2880"/>
                <w:tab w:val="left" w:pos="3420"/>
              </w:tabs>
            </w:pPr>
            <w:r>
              <w:t>Tax base liabilities of the present and the future get captured in a single platform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7A3640" w:rsidRDefault="005E6946" w:rsidP="003B149F">
            <w:pPr>
              <w:tabs>
                <w:tab w:val="left" w:pos="2880"/>
                <w:tab w:val="left" w:pos="3420"/>
              </w:tabs>
            </w:pPr>
            <w:r w:rsidRPr="007A3640">
              <w:t>IAS 16: Property, Plant and Equi</w:t>
            </w:r>
            <w:bookmarkStart w:id="0" w:name="_GoBack"/>
            <w:bookmarkEnd w:id="0"/>
            <w:r w:rsidRPr="007A3640">
              <w:t xml:space="preserve">pment </w:t>
            </w:r>
          </w:p>
        </w:tc>
        <w:tc>
          <w:tcPr>
            <w:tcW w:w="3942" w:type="dxa"/>
          </w:tcPr>
          <w:p w:rsidR="005E6946" w:rsidRPr="000F6906" w:rsidRDefault="00B03068" w:rsidP="003B149F">
            <w:pPr>
              <w:tabs>
                <w:tab w:val="left" w:pos="2880"/>
                <w:tab w:val="left" w:pos="3420"/>
              </w:tabs>
            </w:pPr>
            <w:r>
              <w:t>Measured the net present value of assets and equipment in the present year</w:t>
            </w:r>
          </w:p>
        </w:tc>
        <w:tc>
          <w:tcPr>
            <w:tcW w:w="3943" w:type="dxa"/>
          </w:tcPr>
          <w:p w:rsidR="005E6946" w:rsidRPr="000F6906" w:rsidRDefault="00F71D02" w:rsidP="003B149F">
            <w:pPr>
              <w:tabs>
                <w:tab w:val="left" w:pos="2880"/>
                <w:tab w:val="left" w:pos="3420"/>
              </w:tabs>
            </w:pPr>
            <w:r>
              <w:t>Measure the cost of equipment and property, then measure based on revaluation or cost model</w:t>
            </w:r>
            <w:r w:rsidR="00B03068">
              <w:t>, depreciated amount also gets noted in the IFRS accounts</w:t>
            </w:r>
          </w:p>
        </w:tc>
        <w:tc>
          <w:tcPr>
            <w:tcW w:w="3943" w:type="dxa"/>
          </w:tcPr>
          <w:p w:rsidR="005E6946" w:rsidRPr="000F6906" w:rsidRDefault="00B03068" w:rsidP="003B149F">
            <w:pPr>
              <w:tabs>
                <w:tab w:val="left" w:pos="2880"/>
                <w:tab w:val="left" w:pos="3420"/>
              </w:tabs>
            </w:pPr>
            <w:r>
              <w:t>Property, equipment, and plant get accounted  apart from situations where other standards require separate accounting techniques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r w:rsidRPr="007A3640">
              <w:t xml:space="preserve">IFRS 9: Financial Instruments </w:t>
            </w:r>
          </w:p>
        </w:tc>
        <w:tc>
          <w:tcPr>
            <w:tcW w:w="3942" w:type="dxa"/>
          </w:tcPr>
          <w:p w:rsidR="005E6946" w:rsidRPr="000F6906" w:rsidRDefault="00D63F23" w:rsidP="003B149F">
            <w:pPr>
              <w:tabs>
                <w:tab w:val="left" w:pos="2880"/>
                <w:tab w:val="left" w:pos="3420"/>
              </w:tabs>
            </w:pPr>
            <w:r>
              <w:t>Financial instruments did not take a predefined plus or minus measurement value</w:t>
            </w:r>
          </w:p>
        </w:tc>
        <w:tc>
          <w:tcPr>
            <w:tcW w:w="3943" w:type="dxa"/>
          </w:tcPr>
          <w:p w:rsidR="005E6946" w:rsidRPr="000F6906" w:rsidRDefault="00D63F23" w:rsidP="003B149F">
            <w:pPr>
              <w:tabs>
                <w:tab w:val="left" w:pos="2880"/>
                <w:tab w:val="left" w:pos="3420"/>
              </w:tabs>
            </w:pPr>
            <w:r>
              <w:t xml:space="preserve">Measurement, requirements, impairment and general hedge accounting </w:t>
            </w:r>
          </w:p>
        </w:tc>
        <w:tc>
          <w:tcPr>
            <w:tcW w:w="3943" w:type="dxa"/>
          </w:tcPr>
          <w:p w:rsidR="005E6946" w:rsidRPr="000F6906" w:rsidRDefault="00D63F23" w:rsidP="003B149F">
            <w:pPr>
              <w:tabs>
                <w:tab w:val="left" w:pos="2880"/>
                <w:tab w:val="left" w:pos="3420"/>
              </w:tabs>
            </w:pPr>
            <w:r>
              <w:t>Financial instruments get measured on a given plus or minus value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0F6906" w:rsidRDefault="005E6946" w:rsidP="003B149F">
            <w:pPr>
              <w:tabs>
                <w:tab w:val="left" w:pos="2880"/>
                <w:tab w:val="left" w:pos="3420"/>
              </w:tabs>
            </w:pPr>
            <w:r w:rsidRPr="007A3640">
              <w:t xml:space="preserve">IAS 12: Income Taxes </w:t>
            </w:r>
          </w:p>
        </w:tc>
        <w:tc>
          <w:tcPr>
            <w:tcW w:w="3942" w:type="dxa"/>
          </w:tcPr>
          <w:p w:rsidR="005E6946" w:rsidRPr="000F6906" w:rsidRDefault="00D63F23" w:rsidP="003B149F">
            <w:pPr>
              <w:tabs>
                <w:tab w:val="left" w:pos="2880"/>
                <w:tab w:val="left" w:pos="3420"/>
              </w:tabs>
            </w:pPr>
            <w:r>
              <w:t xml:space="preserve">Recognized the present tax obligations of assets and liabilities </w:t>
            </w:r>
          </w:p>
        </w:tc>
        <w:tc>
          <w:tcPr>
            <w:tcW w:w="3943" w:type="dxa"/>
          </w:tcPr>
          <w:p w:rsidR="005E6946" w:rsidRPr="000F6906" w:rsidRDefault="00D63F23" w:rsidP="003B149F">
            <w:pPr>
              <w:tabs>
                <w:tab w:val="left" w:pos="2880"/>
                <w:tab w:val="left" w:pos="3420"/>
              </w:tabs>
            </w:pPr>
            <w:r>
              <w:t>Recognizes both current and future tax consequences, based on the assets and liabilities</w:t>
            </w:r>
          </w:p>
        </w:tc>
        <w:tc>
          <w:tcPr>
            <w:tcW w:w="3943" w:type="dxa"/>
          </w:tcPr>
          <w:p w:rsidR="005E6946" w:rsidRPr="000F6906" w:rsidRDefault="00D63F23" w:rsidP="00D63F23">
            <w:pPr>
              <w:tabs>
                <w:tab w:val="left" w:pos="2880"/>
                <w:tab w:val="left" w:pos="3420"/>
              </w:tabs>
            </w:pPr>
            <w:r>
              <w:t>Entities account  for tax consequences based on the transactions, just like it accounts for transactions and other financial events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7A3640" w:rsidRDefault="005E6946" w:rsidP="003B149F">
            <w:r w:rsidRPr="007A3640">
              <w:t>IAS 17: Leases</w:t>
            </w:r>
          </w:p>
        </w:tc>
        <w:tc>
          <w:tcPr>
            <w:tcW w:w="3942" w:type="dxa"/>
          </w:tcPr>
          <w:p w:rsidR="005E6946" w:rsidRPr="000F6906" w:rsidRDefault="00CF3A4D" w:rsidP="003B149F">
            <w:pPr>
              <w:tabs>
                <w:tab w:val="left" w:pos="2880"/>
                <w:tab w:val="left" w:pos="3420"/>
              </w:tabs>
            </w:pPr>
            <w:r>
              <w:t xml:space="preserve">Does not consider leases as financial expenditure </w:t>
            </w:r>
          </w:p>
        </w:tc>
        <w:tc>
          <w:tcPr>
            <w:tcW w:w="3943" w:type="dxa"/>
          </w:tcPr>
          <w:p w:rsidR="005E6946" w:rsidRPr="000F6906" w:rsidRDefault="00CF3A4D" w:rsidP="003B149F">
            <w:pPr>
              <w:tabs>
                <w:tab w:val="left" w:pos="2880"/>
                <w:tab w:val="left" w:pos="3420"/>
              </w:tabs>
            </w:pPr>
            <w:r>
              <w:t>Recognition of leases as expenses, whereas the asset that remains getting recognized by the lessor</w:t>
            </w:r>
          </w:p>
        </w:tc>
        <w:tc>
          <w:tcPr>
            <w:tcW w:w="3943" w:type="dxa"/>
          </w:tcPr>
          <w:p w:rsidR="005E6946" w:rsidRPr="000F6906" w:rsidRDefault="00CF3A4D" w:rsidP="003B149F">
            <w:pPr>
              <w:tabs>
                <w:tab w:val="left" w:pos="2880"/>
                <w:tab w:val="left" w:pos="3420"/>
              </w:tabs>
            </w:pPr>
            <w:r>
              <w:t xml:space="preserve">Measurement of present and future implications </w:t>
            </w:r>
          </w:p>
        </w:tc>
      </w:tr>
      <w:tr w:rsidR="005E6946" w:rsidRPr="000F6906" w:rsidTr="002E127C">
        <w:trPr>
          <w:trHeight w:val="720"/>
        </w:trPr>
        <w:tc>
          <w:tcPr>
            <w:tcW w:w="2410" w:type="dxa"/>
          </w:tcPr>
          <w:p w:rsidR="005E6946" w:rsidRPr="007A3640" w:rsidRDefault="005E6946" w:rsidP="003B149F">
            <w:r w:rsidRPr="007A3640">
              <w:t xml:space="preserve">IAS 10: Events After the Reporting Period </w:t>
            </w:r>
          </w:p>
        </w:tc>
        <w:tc>
          <w:tcPr>
            <w:tcW w:w="3942" w:type="dxa"/>
          </w:tcPr>
          <w:p w:rsidR="005E6946" w:rsidRPr="000F6906" w:rsidRDefault="00A45A60" w:rsidP="003B149F">
            <w:pPr>
              <w:tabs>
                <w:tab w:val="left" w:pos="2880"/>
                <w:tab w:val="left" w:pos="3420"/>
              </w:tabs>
            </w:pPr>
            <w:r>
              <w:t xml:space="preserve">Non-adjustment events might attract changes in the statements </w:t>
            </w:r>
          </w:p>
        </w:tc>
        <w:tc>
          <w:tcPr>
            <w:tcW w:w="3943" w:type="dxa"/>
          </w:tcPr>
          <w:p w:rsidR="005E6946" w:rsidRPr="000F6906" w:rsidRDefault="00CF3A4D" w:rsidP="003B149F">
            <w:pPr>
              <w:tabs>
                <w:tab w:val="left" w:pos="2880"/>
                <w:tab w:val="left" w:pos="3420"/>
              </w:tabs>
            </w:pPr>
            <w:r>
              <w:t>Financial state</w:t>
            </w:r>
            <w:r w:rsidR="00A45A60">
              <w:t xml:space="preserve">ments get adjusted for adjusting period, whereas non-adjusting events don’t attract any adjustments </w:t>
            </w:r>
          </w:p>
        </w:tc>
        <w:tc>
          <w:tcPr>
            <w:tcW w:w="3943" w:type="dxa"/>
          </w:tcPr>
          <w:p w:rsidR="005E6946" w:rsidRPr="000F6906" w:rsidRDefault="00A45A60" w:rsidP="003B149F">
            <w:pPr>
              <w:tabs>
                <w:tab w:val="left" w:pos="2880"/>
                <w:tab w:val="left" w:pos="3420"/>
              </w:tabs>
            </w:pPr>
            <w:r>
              <w:t xml:space="preserve">Distinction between the adjusting and non-adjusting events for the statements  </w:t>
            </w:r>
          </w:p>
        </w:tc>
      </w:tr>
    </w:tbl>
    <w:p w:rsidR="00573388" w:rsidRDefault="005E6946" w:rsidP="005E6946">
      <w:pPr>
        <w:jc w:val="center"/>
        <w:rPr>
          <w:b/>
          <w:sz w:val="28"/>
        </w:rPr>
      </w:pPr>
      <w:r w:rsidRPr="005E6946">
        <w:rPr>
          <w:b/>
          <w:sz w:val="28"/>
        </w:rPr>
        <w:t>Impact Analysis Chart</w:t>
      </w:r>
    </w:p>
    <w:p w:rsidR="005E6946" w:rsidRPr="00061DEA" w:rsidRDefault="00FF3372" w:rsidP="00FF3372">
      <w:pPr>
        <w:jc w:val="center"/>
        <w:rPr>
          <w:i/>
          <w:sz w:val="22"/>
        </w:rPr>
      </w:pPr>
      <w:r>
        <w:rPr>
          <w:i/>
          <w:sz w:val="22"/>
        </w:rPr>
        <w:t>JP</w:t>
      </w:r>
      <w:r w:rsidRPr="00FF3372">
        <w:rPr>
          <w:i/>
          <w:sz w:val="22"/>
        </w:rPr>
        <w:t xml:space="preserve"> </w:t>
      </w:r>
      <w:r>
        <w:rPr>
          <w:i/>
          <w:sz w:val="22"/>
        </w:rPr>
        <w:t>M</w:t>
      </w:r>
      <w:r w:rsidRPr="00FF3372">
        <w:rPr>
          <w:i/>
          <w:sz w:val="22"/>
        </w:rPr>
        <w:t>organ</w:t>
      </w:r>
      <w:r>
        <w:rPr>
          <w:i/>
          <w:sz w:val="22"/>
        </w:rPr>
        <w:t xml:space="preserve"> &amp; Chase</w:t>
      </w:r>
    </w:p>
    <w:sectPr w:rsidR="005E6946" w:rsidRPr="00061DEA" w:rsidSect="002E127C">
      <w:headerReference w:type="default" r:id="rId11"/>
      <w:pgSz w:w="15840" w:h="12240" w:orient="landscape" w:code="1"/>
      <w:pgMar w:top="1080" w:right="108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AD" w:rsidRDefault="00985CAD">
      <w:r>
        <w:separator/>
      </w:r>
    </w:p>
  </w:endnote>
  <w:endnote w:type="continuationSeparator" w:id="0">
    <w:p w:rsidR="00985CAD" w:rsidRDefault="00985CAD">
      <w:r>
        <w:continuationSeparator/>
      </w:r>
    </w:p>
  </w:endnote>
  <w:endnote w:type="continuationNotice" w:id="1">
    <w:p w:rsidR="00985CAD" w:rsidRDefault="00985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AD" w:rsidRDefault="00985CAD">
      <w:r>
        <w:separator/>
      </w:r>
    </w:p>
  </w:footnote>
  <w:footnote w:type="continuationSeparator" w:id="0">
    <w:p w:rsidR="00985CAD" w:rsidRDefault="00985CAD">
      <w:r>
        <w:continuationSeparator/>
      </w:r>
    </w:p>
  </w:footnote>
  <w:footnote w:type="continuationNotice" w:id="1">
    <w:p w:rsidR="00985CAD" w:rsidRDefault="00985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69" w:rsidRPr="00586D5C" w:rsidRDefault="00F60769" w:rsidP="00586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CF"/>
    <w:multiLevelType w:val="hybridMultilevel"/>
    <w:tmpl w:val="BB1E0B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80CC1"/>
    <w:multiLevelType w:val="hybridMultilevel"/>
    <w:tmpl w:val="D7F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7A94"/>
    <w:multiLevelType w:val="hybridMultilevel"/>
    <w:tmpl w:val="B466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B96"/>
    <w:multiLevelType w:val="hybridMultilevel"/>
    <w:tmpl w:val="399EC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7874"/>
    <w:multiLevelType w:val="hybridMultilevel"/>
    <w:tmpl w:val="B9B6F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D5234"/>
    <w:multiLevelType w:val="hybridMultilevel"/>
    <w:tmpl w:val="D63A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FB3"/>
    <w:multiLevelType w:val="hybridMultilevel"/>
    <w:tmpl w:val="5358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27869"/>
    <w:multiLevelType w:val="hybridMultilevel"/>
    <w:tmpl w:val="72803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A3C03"/>
    <w:multiLevelType w:val="hybridMultilevel"/>
    <w:tmpl w:val="DEDA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920DF"/>
    <w:multiLevelType w:val="hybridMultilevel"/>
    <w:tmpl w:val="A1DE6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90D5E"/>
    <w:multiLevelType w:val="hybridMultilevel"/>
    <w:tmpl w:val="FFB8F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3FD"/>
    <w:multiLevelType w:val="hybridMultilevel"/>
    <w:tmpl w:val="6874A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B8067F"/>
    <w:multiLevelType w:val="hybridMultilevel"/>
    <w:tmpl w:val="DC08BC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2158"/>
    <w:multiLevelType w:val="hybridMultilevel"/>
    <w:tmpl w:val="B954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00A52"/>
    <w:multiLevelType w:val="hybridMultilevel"/>
    <w:tmpl w:val="519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3B4271"/>
    <w:multiLevelType w:val="multilevel"/>
    <w:tmpl w:val="7B2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6109F"/>
    <w:multiLevelType w:val="hybridMultilevel"/>
    <w:tmpl w:val="BC049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5"/>
  </w:num>
  <w:num w:numId="13">
    <w:abstractNumId w:val="3"/>
  </w:num>
  <w:num w:numId="14">
    <w:abstractNumId w:val="14"/>
  </w:num>
  <w:num w:numId="15">
    <w:abstractNumId w:val="6"/>
  </w:num>
  <w:num w:numId="16">
    <w:abstractNumId w:val="2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94"/>
    <w:rsid w:val="00012B6E"/>
    <w:rsid w:val="00020F12"/>
    <w:rsid w:val="00025FD3"/>
    <w:rsid w:val="00030858"/>
    <w:rsid w:val="0005063D"/>
    <w:rsid w:val="00061B8D"/>
    <w:rsid w:val="00061DEA"/>
    <w:rsid w:val="00066203"/>
    <w:rsid w:val="00074A9D"/>
    <w:rsid w:val="0007543E"/>
    <w:rsid w:val="000774C4"/>
    <w:rsid w:val="00081BB2"/>
    <w:rsid w:val="0009349F"/>
    <w:rsid w:val="000A1094"/>
    <w:rsid w:val="000A2105"/>
    <w:rsid w:val="000B2218"/>
    <w:rsid w:val="000B5E52"/>
    <w:rsid w:val="000C1E62"/>
    <w:rsid w:val="000C6175"/>
    <w:rsid w:val="000D1E6E"/>
    <w:rsid w:val="000D3F2D"/>
    <w:rsid w:val="000E1AB2"/>
    <w:rsid w:val="000F3B2D"/>
    <w:rsid w:val="000F572F"/>
    <w:rsid w:val="000F5813"/>
    <w:rsid w:val="000F6906"/>
    <w:rsid w:val="001001B1"/>
    <w:rsid w:val="0010060E"/>
    <w:rsid w:val="00101C7F"/>
    <w:rsid w:val="00105CA3"/>
    <w:rsid w:val="0011127F"/>
    <w:rsid w:val="001125E7"/>
    <w:rsid w:val="00117B78"/>
    <w:rsid w:val="00122431"/>
    <w:rsid w:val="00124794"/>
    <w:rsid w:val="00125CCB"/>
    <w:rsid w:val="001263E4"/>
    <w:rsid w:val="0013113E"/>
    <w:rsid w:val="001333D6"/>
    <w:rsid w:val="00136A66"/>
    <w:rsid w:val="001401F1"/>
    <w:rsid w:val="001466AF"/>
    <w:rsid w:val="00155F83"/>
    <w:rsid w:val="00160075"/>
    <w:rsid w:val="001638A8"/>
    <w:rsid w:val="0016414C"/>
    <w:rsid w:val="00166C41"/>
    <w:rsid w:val="00166E88"/>
    <w:rsid w:val="001671A5"/>
    <w:rsid w:val="00167B8E"/>
    <w:rsid w:val="00172E0B"/>
    <w:rsid w:val="00175CA8"/>
    <w:rsid w:val="00177500"/>
    <w:rsid w:val="00186B87"/>
    <w:rsid w:val="00187FBF"/>
    <w:rsid w:val="001968C5"/>
    <w:rsid w:val="001B2C64"/>
    <w:rsid w:val="001B477D"/>
    <w:rsid w:val="001B4C89"/>
    <w:rsid w:val="001B6766"/>
    <w:rsid w:val="001C21A1"/>
    <w:rsid w:val="001C38EF"/>
    <w:rsid w:val="001D01D3"/>
    <w:rsid w:val="001D20D5"/>
    <w:rsid w:val="001D3F1F"/>
    <w:rsid w:val="001D640F"/>
    <w:rsid w:val="001E0DAC"/>
    <w:rsid w:val="001E25A3"/>
    <w:rsid w:val="001E3BA4"/>
    <w:rsid w:val="001F3CEC"/>
    <w:rsid w:val="001F4733"/>
    <w:rsid w:val="001F66D3"/>
    <w:rsid w:val="00216C82"/>
    <w:rsid w:val="00236266"/>
    <w:rsid w:val="00237C90"/>
    <w:rsid w:val="00240F8F"/>
    <w:rsid w:val="0024189A"/>
    <w:rsid w:val="002425C6"/>
    <w:rsid w:val="00243824"/>
    <w:rsid w:val="00244A16"/>
    <w:rsid w:val="002458EE"/>
    <w:rsid w:val="00245CEF"/>
    <w:rsid w:val="00246A6E"/>
    <w:rsid w:val="002633D6"/>
    <w:rsid w:val="00263A85"/>
    <w:rsid w:val="00274E81"/>
    <w:rsid w:val="00291FEA"/>
    <w:rsid w:val="002A27EB"/>
    <w:rsid w:val="002B758A"/>
    <w:rsid w:val="002C3D34"/>
    <w:rsid w:val="002C5BC4"/>
    <w:rsid w:val="002D3088"/>
    <w:rsid w:val="002E127C"/>
    <w:rsid w:val="002E4D4B"/>
    <w:rsid w:val="002E6647"/>
    <w:rsid w:val="00300856"/>
    <w:rsid w:val="00303759"/>
    <w:rsid w:val="00311B83"/>
    <w:rsid w:val="00313393"/>
    <w:rsid w:val="00314DE7"/>
    <w:rsid w:val="00317583"/>
    <w:rsid w:val="00325A6A"/>
    <w:rsid w:val="003318FC"/>
    <w:rsid w:val="0033644B"/>
    <w:rsid w:val="0034226D"/>
    <w:rsid w:val="003461CB"/>
    <w:rsid w:val="003464DA"/>
    <w:rsid w:val="00351DB5"/>
    <w:rsid w:val="00357CE9"/>
    <w:rsid w:val="00364B1F"/>
    <w:rsid w:val="00367007"/>
    <w:rsid w:val="00367FD3"/>
    <w:rsid w:val="00373E2D"/>
    <w:rsid w:val="00377003"/>
    <w:rsid w:val="003842A2"/>
    <w:rsid w:val="003845DB"/>
    <w:rsid w:val="003A2279"/>
    <w:rsid w:val="003A5F4B"/>
    <w:rsid w:val="003B49AA"/>
    <w:rsid w:val="003C18AC"/>
    <w:rsid w:val="003C4F81"/>
    <w:rsid w:val="003C54D2"/>
    <w:rsid w:val="003C7520"/>
    <w:rsid w:val="003D171D"/>
    <w:rsid w:val="003E0374"/>
    <w:rsid w:val="003E53ED"/>
    <w:rsid w:val="003F1ADC"/>
    <w:rsid w:val="003F228E"/>
    <w:rsid w:val="003F36E2"/>
    <w:rsid w:val="003F3908"/>
    <w:rsid w:val="003F7E7B"/>
    <w:rsid w:val="004004EC"/>
    <w:rsid w:val="00407240"/>
    <w:rsid w:val="004127E5"/>
    <w:rsid w:val="00414580"/>
    <w:rsid w:val="00426505"/>
    <w:rsid w:val="004369EE"/>
    <w:rsid w:val="004411F9"/>
    <w:rsid w:val="00450BD0"/>
    <w:rsid w:val="00453E07"/>
    <w:rsid w:val="00455F97"/>
    <w:rsid w:val="004567F4"/>
    <w:rsid w:val="004611E6"/>
    <w:rsid w:val="0046595D"/>
    <w:rsid w:val="00467FEA"/>
    <w:rsid w:val="004759E1"/>
    <w:rsid w:val="0048031C"/>
    <w:rsid w:val="004803E0"/>
    <w:rsid w:val="00480732"/>
    <w:rsid w:val="004852DC"/>
    <w:rsid w:val="004918A9"/>
    <w:rsid w:val="004963F0"/>
    <w:rsid w:val="00496D4D"/>
    <w:rsid w:val="004A14D0"/>
    <w:rsid w:val="004A5F4E"/>
    <w:rsid w:val="004A6C3C"/>
    <w:rsid w:val="004B5C9E"/>
    <w:rsid w:val="004C180F"/>
    <w:rsid w:val="004C2464"/>
    <w:rsid w:val="004C580A"/>
    <w:rsid w:val="004D7282"/>
    <w:rsid w:val="004E32E4"/>
    <w:rsid w:val="004E61CD"/>
    <w:rsid w:val="004F280A"/>
    <w:rsid w:val="004F36B2"/>
    <w:rsid w:val="004F5706"/>
    <w:rsid w:val="00506492"/>
    <w:rsid w:val="005218D9"/>
    <w:rsid w:val="0053208A"/>
    <w:rsid w:val="00534AD5"/>
    <w:rsid w:val="00536452"/>
    <w:rsid w:val="005366B9"/>
    <w:rsid w:val="00545B2C"/>
    <w:rsid w:val="005508A4"/>
    <w:rsid w:val="005508AF"/>
    <w:rsid w:val="00550A28"/>
    <w:rsid w:val="00556219"/>
    <w:rsid w:val="005665A7"/>
    <w:rsid w:val="00573388"/>
    <w:rsid w:val="00577AC4"/>
    <w:rsid w:val="00583FF6"/>
    <w:rsid w:val="00586D5C"/>
    <w:rsid w:val="005925B7"/>
    <w:rsid w:val="00592EF6"/>
    <w:rsid w:val="0059697C"/>
    <w:rsid w:val="005A739E"/>
    <w:rsid w:val="005B4162"/>
    <w:rsid w:val="005B5411"/>
    <w:rsid w:val="005C17A1"/>
    <w:rsid w:val="005C45BD"/>
    <w:rsid w:val="005D2BFC"/>
    <w:rsid w:val="005D7B93"/>
    <w:rsid w:val="005E0677"/>
    <w:rsid w:val="005E6946"/>
    <w:rsid w:val="005E7017"/>
    <w:rsid w:val="005F509B"/>
    <w:rsid w:val="005F6CD7"/>
    <w:rsid w:val="005F702C"/>
    <w:rsid w:val="005F78D3"/>
    <w:rsid w:val="006113B9"/>
    <w:rsid w:val="00614DA4"/>
    <w:rsid w:val="00617D9A"/>
    <w:rsid w:val="00621DEC"/>
    <w:rsid w:val="006238C8"/>
    <w:rsid w:val="00627705"/>
    <w:rsid w:val="00627BC5"/>
    <w:rsid w:val="0063379B"/>
    <w:rsid w:val="00641C37"/>
    <w:rsid w:val="00643A31"/>
    <w:rsid w:val="00643BDC"/>
    <w:rsid w:val="00647D63"/>
    <w:rsid w:val="006554A2"/>
    <w:rsid w:val="0066735C"/>
    <w:rsid w:val="0066773C"/>
    <w:rsid w:val="00667C87"/>
    <w:rsid w:val="00673C42"/>
    <w:rsid w:val="00681BD4"/>
    <w:rsid w:val="00681F0F"/>
    <w:rsid w:val="006851D2"/>
    <w:rsid w:val="006A24FA"/>
    <w:rsid w:val="006B5C21"/>
    <w:rsid w:val="006C405C"/>
    <w:rsid w:val="006D3A51"/>
    <w:rsid w:val="006D6774"/>
    <w:rsid w:val="006E08A2"/>
    <w:rsid w:val="006E1867"/>
    <w:rsid w:val="006E2420"/>
    <w:rsid w:val="006F7C72"/>
    <w:rsid w:val="00701D7F"/>
    <w:rsid w:val="00711106"/>
    <w:rsid w:val="0071310D"/>
    <w:rsid w:val="007165E8"/>
    <w:rsid w:val="00716A5B"/>
    <w:rsid w:val="0071787B"/>
    <w:rsid w:val="00721CAA"/>
    <w:rsid w:val="00725108"/>
    <w:rsid w:val="00725EAE"/>
    <w:rsid w:val="00727339"/>
    <w:rsid w:val="007338C2"/>
    <w:rsid w:val="007370BF"/>
    <w:rsid w:val="00741BF4"/>
    <w:rsid w:val="00744508"/>
    <w:rsid w:val="00744D1F"/>
    <w:rsid w:val="0074518B"/>
    <w:rsid w:val="00753AC5"/>
    <w:rsid w:val="0075407E"/>
    <w:rsid w:val="00754382"/>
    <w:rsid w:val="0077080C"/>
    <w:rsid w:val="007739A2"/>
    <w:rsid w:val="007814A1"/>
    <w:rsid w:val="007815FD"/>
    <w:rsid w:val="00785748"/>
    <w:rsid w:val="00786BE4"/>
    <w:rsid w:val="00790E56"/>
    <w:rsid w:val="00793653"/>
    <w:rsid w:val="00794CC8"/>
    <w:rsid w:val="00795422"/>
    <w:rsid w:val="00795C10"/>
    <w:rsid w:val="00795DAB"/>
    <w:rsid w:val="007962D0"/>
    <w:rsid w:val="007A3640"/>
    <w:rsid w:val="007A4C0C"/>
    <w:rsid w:val="007A6235"/>
    <w:rsid w:val="007C16F2"/>
    <w:rsid w:val="007C3FD1"/>
    <w:rsid w:val="007C5D2C"/>
    <w:rsid w:val="007D6BBD"/>
    <w:rsid w:val="007E2F8F"/>
    <w:rsid w:val="007F040D"/>
    <w:rsid w:val="007F06EE"/>
    <w:rsid w:val="007F0FAB"/>
    <w:rsid w:val="007F294D"/>
    <w:rsid w:val="007F4066"/>
    <w:rsid w:val="007F6C0D"/>
    <w:rsid w:val="00800379"/>
    <w:rsid w:val="00800431"/>
    <w:rsid w:val="00803979"/>
    <w:rsid w:val="00806ADE"/>
    <w:rsid w:val="008106EF"/>
    <w:rsid w:val="008107D4"/>
    <w:rsid w:val="00812B46"/>
    <w:rsid w:val="00813B5D"/>
    <w:rsid w:val="00813C6E"/>
    <w:rsid w:val="00817FA5"/>
    <w:rsid w:val="00823049"/>
    <w:rsid w:val="00833BBE"/>
    <w:rsid w:val="00860D30"/>
    <w:rsid w:val="00864BD8"/>
    <w:rsid w:val="00864D4B"/>
    <w:rsid w:val="008703BA"/>
    <w:rsid w:val="008733BE"/>
    <w:rsid w:val="00882FE8"/>
    <w:rsid w:val="00883ED7"/>
    <w:rsid w:val="00886B3F"/>
    <w:rsid w:val="008A3B6C"/>
    <w:rsid w:val="008B248A"/>
    <w:rsid w:val="008C1F21"/>
    <w:rsid w:val="008D5C30"/>
    <w:rsid w:val="008E1B13"/>
    <w:rsid w:val="008E30D8"/>
    <w:rsid w:val="00904132"/>
    <w:rsid w:val="00904C7D"/>
    <w:rsid w:val="009077DE"/>
    <w:rsid w:val="00912ED7"/>
    <w:rsid w:val="009142CB"/>
    <w:rsid w:val="00916AFA"/>
    <w:rsid w:val="00916CD4"/>
    <w:rsid w:val="00942B0B"/>
    <w:rsid w:val="00951D24"/>
    <w:rsid w:val="00953487"/>
    <w:rsid w:val="00972408"/>
    <w:rsid w:val="00973647"/>
    <w:rsid w:val="009822D6"/>
    <w:rsid w:val="009824F2"/>
    <w:rsid w:val="00984590"/>
    <w:rsid w:val="009850FC"/>
    <w:rsid w:val="00985CAD"/>
    <w:rsid w:val="00986949"/>
    <w:rsid w:val="00986B1A"/>
    <w:rsid w:val="009A57B6"/>
    <w:rsid w:val="009A7D20"/>
    <w:rsid w:val="009B11AE"/>
    <w:rsid w:val="009B2759"/>
    <w:rsid w:val="009B3F33"/>
    <w:rsid w:val="009B5D58"/>
    <w:rsid w:val="009B69E2"/>
    <w:rsid w:val="009C1B71"/>
    <w:rsid w:val="009D593B"/>
    <w:rsid w:val="009D6E7A"/>
    <w:rsid w:val="009E664F"/>
    <w:rsid w:val="009F1290"/>
    <w:rsid w:val="00A01020"/>
    <w:rsid w:val="00A035E7"/>
    <w:rsid w:val="00A11984"/>
    <w:rsid w:val="00A15C03"/>
    <w:rsid w:val="00A218E6"/>
    <w:rsid w:val="00A26BB1"/>
    <w:rsid w:val="00A45A60"/>
    <w:rsid w:val="00A506ED"/>
    <w:rsid w:val="00A666AD"/>
    <w:rsid w:val="00A94FF6"/>
    <w:rsid w:val="00AA3572"/>
    <w:rsid w:val="00AD5804"/>
    <w:rsid w:val="00AE7358"/>
    <w:rsid w:val="00B0170E"/>
    <w:rsid w:val="00B03068"/>
    <w:rsid w:val="00B0487F"/>
    <w:rsid w:val="00B0537B"/>
    <w:rsid w:val="00B11EE0"/>
    <w:rsid w:val="00B12DB9"/>
    <w:rsid w:val="00B14256"/>
    <w:rsid w:val="00B20304"/>
    <w:rsid w:val="00B22AB8"/>
    <w:rsid w:val="00B30DEB"/>
    <w:rsid w:val="00B348D6"/>
    <w:rsid w:val="00B422FE"/>
    <w:rsid w:val="00B5142C"/>
    <w:rsid w:val="00B54AAD"/>
    <w:rsid w:val="00B55062"/>
    <w:rsid w:val="00B55152"/>
    <w:rsid w:val="00B55A84"/>
    <w:rsid w:val="00B56C6C"/>
    <w:rsid w:val="00B62697"/>
    <w:rsid w:val="00B7116D"/>
    <w:rsid w:val="00B72643"/>
    <w:rsid w:val="00B74D3D"/>
    <w:rsid w:val="00B81C47"/>
    <w:rsid w:val="00B864DF"/>
    <w:rsid w:val="00B94F8B"/>
    <w:rsid w:val="00B9596D"/>
    <w:rsid w:val="00B9696F"/>
    <w:rsid w:val="00BA0113"/>
    <w:rsid w:val="00BA08B7"/>
    <w:rsid w:val="00BA1221"/>
    <w:rsid w:val="00BB1779"/>
    <w:rsid w:val="00BC053E"/>
    <w:rsid w:val="00BC50D0"/>
    <w:rsid w:val="00BC5756"/>
    <w:rsid w:val="00BD462D"/>
    <w:rsid w:val="00BD53DE"/>
    <w:rsid w:val="00BE36DB"/>
    <w:rsid w:val="00BE4524"/>
    <w:rsid w:val="00BF12E4"/>
    <w:rsid w:val="00BF1569"/>
    <w:rsid w:val="00C007AC"/>
    <w:rsid w:val="00C039A0"/>
    <w:rsid w:val="00C134F9"/>
    <w:rsid w:val="00C13E80"/>
    <w:rsid w:val="00C154B5"/>
    <w:rsid w:val="00C36E89"/>
    <w:rsid w:val="00C40BED"/>
    <w:rsid w:val="00C4126C"/>
    <w:rsid w:val="00C45FDC"/>
    <w:rsid w:val="00C60553"/>
    <w:rsid w:val="00C778A9"/>
    <w:rsid w:val="00C77F0E"/>
    <w:rsid w:val="00C827AB"/>
    <w:rsid w:val="00C846AD"/>
    <w:rsid w:val="00C85C47"/>
    <w:rsid w:val="00C86BFF"/>
    <w:rsid w:val="00C94146"/>
    <w:rsid w:val="00C96959"/>
    <w:rsid w:val="00CA0205"/>
    <w:rsid w:val="00CA04A7"/>
    <w:rsid w:val="00CA2751"/>
    <w:rsid w:val="00CA3573"/>
    <w:rsid w:val="00CA4F79"/>
    <w:rsid w:val="00CB268F"/>
    <w:rsid w:val="00CB47FD"/>
    <w:rsid w:val="00CC20BE"/>
    <w:rsid w:val="00CC34BC"/>
    <w:rsid w:val="00CC6265"/>
    <w:rsid w:val="00CD24DE"/>
    <w:rsid w:val="00CF0099"/>
    <w:rsid w:val="00CF3A4D"/>
    <w:rsid w:val="00CF3FF3"/>
    <w:rsid w:val="00CF5266"/>
    <w:rsid w:val="00D01658"/>
    <w:rsid w:val="00D06877"/>
    <w:rsid w:val="00D16C46"/>
    <w:rsid w:val="00D20233"/>
    <w:rsid w:val="00D20C14"/>
    <w:rsid w:val="00D23E31"/>
    <w:rsid w:val="00D26654"/>
    <w:rsid w:val="00D278F6"/>
    <w:rsid w:val="00D354F4"/>
    <w:rsid w:val="00D42CAC"/>
    <w:rsid w:val="00D4386D"/>
    <w:rsid w:val="00D63F23"/>
    <w:rsid w:val="00D6741F"/>
    <w:rsid w:val="00D712E5"/>
    <w:rsid w:val="00D7187E"/>
    <w:rsid w:val="00D72BD1"/>
    <w:rsid w:val="00D74063"/>
    <w:rsid w:val="00D742EB"/>
    <w:rsid w:val="00D75340"/>
    <w:rsid w:val="00D76418"/>
    <w:rsid w:val="00D803AA"/>
    <w:rsid w:val="00D827D3"/>
    <w:rsid w:val="00D87781"/>
    <w:rsid w:val="00D918FD"/>
    <w:rsid w:val="00DA5809"/>
    <w:rsid w:val="00DB1064"/>
    <w:rsid w:val="00DD02E8"/>
    <w:rsid w:val="00DE54FC"/>
    <w:rsid w:val="00DF3100"/>
    <w:rsid w:val="00E07134"/>
    <w:rsid w:val="00E15581"/>
    <w:rsid w:val="00E22156"/>
    <w:rsid w:val="00E2637E"/>
    <w:rsid w:val="00E378E1"/>
    <w:rsid w:val="00E44C8B"/>
    <w:rsid w:val="00E47120"/>
    <w:rsid w:val="00E533B1"/>
    <w:rsid w:val="00E54A19"/>
    <w:rsid w:val="00E552F3"/>
    <w:rsid w:val="00E605F3"/>
    <w:rsid w:val="00E665BE"/>
    <w:rsid w:val="00E71518"/>
    <w:rsid w:val="00E84A49"/>
    <w:rsid w:val="00EA1906"/>
    <w:rsid w:val="00EB7603"/>
    <w:rsid w:val="00ED185C"/>
    <w:rsid w:val="00ED45B4"/>
    <w:rsid w:val="00ED45D7"/>
    <w:rsid w:val="00ED6545"/>
    <w:rsid w:val="00ED66B8"/>
    <w:rsid w:val="00EE3277"/>
    <w:rsid w:val="00EE61E8"/>
    <w:rsid w:val="00EF3858"/>
    <w:rsid w:val="00F0372E"/>
    <w:rsid w:val="00F03B50"/>
    <w:rsid w:val="00F04C49"/>
    <w:rsid w:val="00F1296F"/>
    <w:rsid w:val="00F166FD"/>
    <w:rsid w:val="00F22D85"/>
    <w:rsid w:val="00F26DF9"/>
    <w:rsid w:val="00F27301"/>
    <w:rsid w:val="00F32261"/>
    <w:rsid w:val="00F34279"/>
    <w:rsid w:val="00F37B57"/>
    <w:rsid w:val="00F403B5"/>
    <w:rsid w:val="00F60769"/>
    <w:rsid w:val="00F65CFB"/>
    <w:rsid w:val="00F65EAF"/>
    <w:rsid w:val="00F66B4D"/>
    <w:rsid w:val="00F71D02"/>
    <w:rsid w:val="00F7367C"/>
    <w:rsid w:val="00F77599"/>
    <w:rsid w:val="00F80A29"/>
    <w:rsid w:val="00F81F19"/>
    <w:rsid w:val="00F83A8F"/>
    <w:rsid w:val="00F87EFA"/>
    <w:rsid w:val="00F95598"/>
    <w:rsid w:val="00F976BC"/>
    <w:rsid w:val="00FB2695"/>
    <w:rsid w:val="00FB7A6B"/>
    <w:rsid w:val="00FC1F83"/>
    <w:rsid w:val="00FC2D79"/>
    <w:rsid w:val="00FC4533"/>
    <w:rsid w:val="00FC4979"/>
    <w:rsid w:val="00FD28D8"/>
    <w:rsid w:val="00FD36DB"/>
    <w:rsid w:val="00FD7530"/>
    <w:rsid w:val="00FE00F0"/>
    <w:rsid w:val="00FF0793"/>
    <w:rsid w:val="00FF337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9D41FD-B36D-4FDD-B01F-4C9EA1AD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F67DB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F22D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556219"/>
    <w:pPr>
      <w:spacing w:before="100" w:beforeAutospacing="1" w:after="100" w:afterAutospacing="1"/>
      <w:outlineLvl w:val="1"/>
    </w:pPr>
    <w:rPr>
      <w:b/>
      <w:bCs/>
      <w:color w:val="333333"/>
      <w:sz w:val="20"/>
      <w:szCs w:val="27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A2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D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2D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2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2D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22D85"/>
    <w:rPr>
      <w:sz w:val="16"/>
      <w:szCs w:val="16"/>
    </w:rPr>
  </w:style>
  <w:style w:type="paragraph" w:styleId="CommentText">
    <w:name w:val="annotation text"/>
    <w:basedOn w:val="Normal"/>
    <w:semiHidden/>
    <w:rsid w:val="00F22D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2D85"/>
    <w:rPr>
      <w:b/>
      <w:bCs/>
    </w:rPr>
  </w:style>
  <w:style w:type="paragraph" w:styleId="ListParagraph">
    <w:name w:val="List Paragraph"/>
    <w:basedOn w:val="Normal"/>
    <w:uiPriority w:val="34"/>
    <w:qFormat/>
    <w:rsid w:val="004004E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A210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0A210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A2105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210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A210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0A2105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5D58"/>
    <w:rPr>
      <w:rFonts w:ascii="Arial" w:hAnsi="Arial"/>
      <w:sz w:val="18"/>
      <w:szCs w:val="24"/>
    </w:rPr>
  </w:style>
  <w:style w:type="paragraph" w:customStyle="1" w:styleId="Default">
    <w:name w:val="Default"/>
    <w:rsid w:val="00ED1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01D3"/>
    <w:rPr>
      <w:i/>
      <w:iCs/>
    </w:rPr>
  </w:style>
  <w:style w:type="character" w:customStyle="1" w:styleId="contributornametrigger">
    <w:name w:val="contributornametrigger"/>
    <w:basedOn w:val="DefaultParagraphFont"/>
    <w:rsid w:val="00BF12E4"/>
  </w:style>
  <w:style w:type="paragraph" w:styleId="Revision">
    <w:name w:val="Revision"/>
    <w:hidden/>
    <w:uiPriority w:val="99"/>
    <w:semiHidden/>
    <w:rsid w:val="0059697C"/>
    <w:rPr>
      <w:rFonts w:ascii="Arial" w:hAnsi="Arial"/>
      <w:sz w:val="18"/>
      <w:szCs w:val="24"/>
    </w:rPr>
  </w:style>
  <w:style w:type="character" w:styleId="FollowedHyperlink">
    <w:name w:val="FollowedHyperlink"/>
    <w:basedOn w:val="DefaultParagraphFont"/>
    <w:semiHidden/>
    <w:unhideWhenUsed/>
    <w:rsid w:val="00314DE7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24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1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4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deb12141\My%20Documents\CTUO\Program%20Review%20&amp;%20Revision%20Project\Course%20Design%20Document%20v4%20K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 xmlns="211e074a-8891-49f8-9f0c-4fc1609fd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1B0E5A3B85549A14E1D84FC7585A0" ma:contentTypeVersion="9" ma:contentTypeDescription="Create a new document." ma:contentTypeScope="" ma:versionID="c3080067cd6de5b1111552bdf1d8bd64">
  <xsd:schema xmlns:xsd="http://www.w3.org/2001/XMLSchema" xmlns:p="http://schemas.microsoft.com/office/2006/metadata/properties" xmlns:ns2="211e074a-8891-49f8-9f0c-4fc1609fd493" targetNamespace="http://schemas.microsoft.com/office/2006/metadata/properties" ma:root="true" ma:fieldsID="906ab61ff25ecec5f661609804f4dfde" ns2:_="">
    <xsd:import namespace="211e074a-8891-49f8-9f0c-4fc1609fd493"/>
    <xsd:element name="properties">
      <xsd:complexType>
        <xsd:sequence>
          <xsd:element name="documentManagement">
            <xsd:complexType>
              <xsd:all>
                <xsd:element ref="ns2: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11e074a-8891-49f8-9f0c-4fc1609fd493" elementFormDefault="qualified">
    <xsd:import namespace="http://schemas.microsoft.com/office/2006/documentManagement/types"/>
    <xsd:element name="N" ma:index="2" nillable="true" ma:displayName="Notes" ma:internalName="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7C06-ACC9-485E-86DC-CC03B559C912}">
  <ds:schemaRefs>
    <ds:schemaRef ds:uri="http://schemas.microsoft.com/office/2006/metadata/properties"/>
    <ds:schemaRef ds:uri="211e074a-8891-49f8-9f0c-4fc1609fd493"/>
  </ds:schemaRefs>
</ds:datastoreItem>
</file>

<file path=customXml/itemProps2.xml><?xml version="1.0" encoding="utf-8"?>
<ds:datastoreItem xmlns:ds="http://schemas.openxmlformats.org/officeDocument/2006/customXml" ds:itemID="{05BCB74A-13F8-4579-ABCF-0878DE568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8888E-A15C-43A6-873C-62AC16ABE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e074a-8891-49f8-9f0c-4fc1609fd4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D5750E-A430-400B-9B34-0C9B2033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Design Document v4 KHW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Debby Telfer</dc:creator>
  <cp:lastModifiedBy>betty thompson</cp:lastModifiedBy>
  <cp:revision>2</cp:revision>
  <cp:lastPrinted>2015-05-19T14:24:00Z</cp:lastPrinted>
  <dcterms:created xsi:type="dcterms:W3CDTF">2017-04-24T13:08:00Z</dcterms:created>
  <dcterms:modified xsi:type="dcterms:W3CDTF">2017-04-24T13:08:00Z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  <property fmtid="{D5CDD505-2E9C-101B-9397-08002B2CF9AE}" pid="3" name="ContentTypeId">
    <vt:lpwstr>0x010100FF71B0E5A3B85549A14E1D84FC7585A0</vt:lpwstr>
  </property>
</Properties>
</file>