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24"/>
          <w:szCs w:val="24"/>
          <w:rtl w:val="0"/>
        </w:rPr>
        <w:t xml:space="preserve">Abstract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24"/>
          <w:szCs w:val="24"/>
          <w:rtl w:val="0"/>
        </w:rPr>
        <w:t xml:space="preserve">This paper will explore various theories of counseling and psychotherapy and its relations to my personal beliefs and values. This paper will guide me in my decision-making process when working with students, staff, and administration in various schools systems. Through this paper, I will be able to develop my “philosophy of counseling” and create a foundation that is grounded in theory. I will focus heavily on the Existential Theory, but will discuss various theories that relate to counseling. To conclude I will focus on my spiritual beliefs and how those beliefs will affect they way I operate as a counselor on a day-to-day basis.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c3c3c"/>
          <w:sz w:val="24"/>
          <w:szCs w:val="24"/>
          <w:rtl w:val="0"/>
        </w:rPr>
        <w:t xml:space="preserve">Personal Beliefs about Human Nature </w:t>
      </w:r>
    </w:p>
    <w:p w:rsidR="00000000" w:rsidDel="00000000" w:rsidP="00000000" w:rsidRDefault="00000000" w:rsidRPr="00000000">
      <w:pPr>
        <w:ind w:firstLine="720"/>
        <w:contextualSpacing w:val="0"/>
      </w:pPr>
      <w:r w:rsidDel="00000000" w:rsidR="00000000" w:rsidRPr="00000000">
        <w:rPr>
          <w:color w:val="3c3c3c"/>
          <w:sz w:val="24"/>
          <w:szCs w:val="24"/>
          <w:rtl w:val="0"/>
        </w:rPr>
        <w:t xml:space="preserve">The Existential Theory by Viktor Frankl, Rollo May, and Irvin Yalom (Carlos, 1996) gives individuals the opportunity to focus on their own lives as free-will, and become responsible for their own choices and actions. This theory will guide me in my day-to-day life, because of the population of students that I may have the opportunity to counsel. I have found a love for students who come from underprivileged backgrounds, who may raise themselves, and how their individual backgrounds affect the choices they make. I firmly believe this theory gives me the opportunity to get to know the individual's story to understand the root of the “problem” in the person's life. As I transition from understanding the story of the participant, I will be able to begin asking those tough questions about how the human may suffer to creating a positive movement within that individual's life (Carlos, 1996, p. 310). By grounding my counseling session in the existiental theory the participants ultimately will begin to reflect on their decision and how those beahaviors affect there own choices and actions. </w:t>
      </w:r>
    </w:p>
    <w:p w:rsidR="00000000" w:rsidDel="00000000" w:rsidP="00000000" w:rsidRDefault="00000000" w:rsidRPr="00000000">
      <w:pPr>
        <w:contextualSpacing w:val="0"/>
      </w:pPr>
      <w:r w:rsidDel="00000000" w:rsidR="00000000" w:rsidRPr="00000000">
        <w:rPr>
          <w:color w:val="3c3c3c"/>
          <w:sz w:val="24"/>
          <w:szCs w:val="24"/>
          <w:rtl w:val="0"/>
        </w:rPr>
        <w:t xml:space="preserve"> </w:t>
      </w:r>
    </w:p>
    <w:p w:rsidR="00000000" w:rsidDel="00000000" w:rsidP="00000000" w:rsidRDefault="00000000" w:rsidRPr="00000000">
      <w:pPr>
        <w:contextualSpacing w:val="0"/>
      </w:pPr>
      <w:r w:rsidDel="00000000" w:rsidR="00000000" w:rsidRPr="00000000">
        <w:rPr>
          <w:color w:val="3c3c3c"/>
          <w:sz w:val="24"/>
          <w:szCs w:val="24"/>
          <w:rtl w:val="0"/>
        </w:rPr>
        <w:t xml:space="preserve">Determinism vs. Free-will </w:t>
      </w:r>
    </w:p>
    <w:p w:rsidR="00000000" w:rsidDel="00000000" w:rsidP="00000000" w:rsidRDefault="00000000" w:rsidRPr="00000000">
      <w:pPr>
        <w:ind w:firstLine="720"/>
        <w:contextualSpacing w:val="0"/>
      </w:pPr>
      <w:r w:rsidDel="00000000" w:rsidR="00000000" w:rsidRPr="00000000">
        <w:rPr>
          <w:color w:val="3c3c3c"/>
          <w:sz w:val="24"/>
          <w:szCs w:val="24"/>
          <w:rtl w:val="0"/>
        </w:rPr>
        <w:t xml:space="preserve">Determinism focuses on the patterns and behaviors of an individual's life, while free will is the operation to do whatever they please without the pattern of behavior being set at an early age (Carlos, 1996). The existential theory focuses heavily on participants operating on their own free will. This gives the participant the opportunity to focus on their own beliefs, actions, and choices and not those that have been instilled in them by those who raised them.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color w:val="3c3c3c"/>
          <w:sz w:val="14"/>
          <w:szCs w:val="14"/>
          <w:rtl w:val="0"/>
        </w:rPr>
        <w:t xml:space="preserve"> </w:t>
      </w:r>
      <w:r w:rsidDel="00000000" w:rsidR="00000000" w:rsidRPr="00000000">
        <w:rPr>
          <w:color w:val="3c3c3c"/>
          <w:sz w:val="24"/>
          <w:szCs w:val="24"/>
          <w:rtl w:val="0"/>
        </w:rPr>
        <w:t xml:space="preserve">Unconscious (unaware) vs. conscious (aware)</w:t>
        <w:br w:type="textWrapping"/>
        <w:tab/>
        <w:t xml:space="preserve">Sigmund Freud (1856-1939) contributed heavily in understanding the unconscious and consicous behavior of and individuals personality(Carlos, 1996). </w:t>
      </w:r>
    </w:p>
    <w:p w:rsidR="00000000" w:rsidDel="00000000" w:rsidP="00000000" w:rsidRDefault="00000000" w:rsidRPr="00000000">
      <w:pPr>
        <w:ind w:left="0" w:firstLine="0"/>
        <w:contextualSpacing w:val="0"/>
      </w:pPr>
      <w:r w:rsidDel="00000000" w:rsidR="00000000" w:rsidRPr="00000000">
        <w:rPr>
          <w:color w:val="3c3c3c"/>
          <w:sz w:val="24"/>
          <w:szCs w:val="24"/>
          <w:rtl w:val="0"/>
        </w:rPr>
        <w:t xml:space="preserve">·</w:t>
      </w:r>
      <w:r w:rsidDel="00000000" w:rsidR="00000000" w:rsidRPr="00000000">
        <w:rPr>
          <w:rFonts w:ascii="Times New Roman" w:cs="Times New Roman" w:eastAsia="Times New Roman" w:hAnsi="Times New Roman"/>
          <w:color w:val="3c3c3c"/>
          <w:sz w:val="14"/>
          <w:szCs w:val="14"/>
          <w:rtl w:val="0"/>
        </w:rPr>
        <w:t xml:space="preserve">      </w:t>
      </w:r>
      <w:r w:rsidDel="00000000" w:rsidR="00000000" w:rsidRPr="00000000">
        <w:rPr>
          <w:color w:val="3c3c3c"/>
          <w:sz w:val="24"/>
          <w:szCs w:val="24"/>
          <w:rtl w:val="0"/>
        </w:rPr>
        <w:t xml:space="preserve">Reactive vs. proactive</w:t>
      </w:r>
    </w:p>
    <w:p w:rsidR="00000000" w:rsidDel="00000000" w:rsidP="00000000" w:rsidRDefault="00000000" w:rsidRPr="00000000">
      <w:pPr>
        <w:ind w:left="0" w:firstLine="0"/>
        <w:contextualSpacing w:val="0"/>
      </w:pPr>
      <w:r w:rsidDel="00000000" w:rsidR="00000000" w:rsidRPr="00000000">
        <w:rPr>
          <w:color w:val="3c3c3c"/>
          <w:sz w:val="24"/>
          <w:szCs w:val="24"/>
          <w:rtl w:val="0"/>
        </w:rPr>
        <w:t xml:space="preserve">·</w:t>
      </w:r>
      <w:r w:rsidDel="00000000" w:rsidR="00000000" w:rsidRPr="00000000">
        <w:rPr>
          <w:rFonts w:ascii="Times New Roman" w:cs="Times New Roman" w:eastAsia="Times New Roman" w:hAnsi="Times New Roman"/>
          <w:color w:val="3c3c3c"/>
          <w:sz w:val="14"/>
          <w:szCs w:val="14"/>
          <w:rtl w:val="0"/>
        </w:rPr>
        <w:t xml:space="preserve">      </w:t>
      </w:r>
      <w:r w:rsidDel="00000000" w:rsidR="00000000" w:rsidRPr="00000000">
        <w:rPr>
          <w:color w:val="3c3c3c"/>
          <w:sz w:val="24"/>
          <w:szCs w:val="24"/>
          <w:rtl w:val="0"/>
        </w:rPr>
        <w:t xml:space="preserve">Subjective vs. objective</w:t>
      </w:r>
    </w:p>
    <w:p w:rsidR="00000000" w:rsidDel="00000000" w:rsidP="00000000" w:rsidRDefault="00000000" w:rsidRPr="00000000">
      <w:pPr>
        <w:ind w:left="0" w:firstLine="0"/>
        <w:contextualSpacing w:val="0"/>
      </w:pPr>
      <w:r w:rsidDel="00000000" w:rsidR="00000000" w:rsidRPr="00000000">
        <w:rPr>
          <w:color w:val="3c3c3c"/>
          <w:sz w:val="24"/>
          <w:szCs w:val="24"/>
          <w:rtl w:val="0"/>
        </w:rPr>
        <w:t xml:space="preserve">·</w:t>
      </w:r>
      <w:r w:rsidDel="00000000" w:rsidR="00000000" w:rsidRPr="00000000">
        <w:rPr>
          <w:rFonts w:ascii="Times New Roman" w:cs="Times New Roman" w:eastAsia="Times New Roman" w:hAnsi="Times New Roman"/>
          <w:color w:val="3c3c3c"/>
          <w:sz w:val="14"/>
          <w:szCs w:val="14"/>
          <w:rtl w:val="0"/>
        </w:rPr>
        <w:t xml:space="preserve">      </w:t>
      </w:r>
      <w:r w:rsidDel="00000000" w:rsidR="00000000" w:rsidRPr="00000000">
        <w:rPr>
          <w:color w:val="3c3c3c"/>
          <w:sz w:val="24"/>
          <w:szCs w:val="24"/>
          <w:rtl w:val="0"/>
        </w:rPr>
        <w:t xml:space="preserve">Negative human nature vs. positive human nature</w:t>
      </w:r>
    </w:p>
    <w:p w:rsidR="00000000" w:rsidDel="00000000" w:rsidP="00000000" w:rsidRDefault="00000000" w:rsidRPr="00000000">
      <w:pPr>
        <w:ind w:left="0" w:firstLine="0"/>
        <w:contextualSpacing w:val="0"/>
      </w:pPr>
      <w:r w:rsidDel="00000000" w:rsidR="00000000" w:rsidRPr="00000000">
        <w:rPr>
          <w:color w:val="3c3c3c"/>
          <w:sz w:val="24"/>
          <w:szCs w:val="24"/>
          <w:rtl w:val="0"/>
        </w:rPr>
        <w:t xml:space="preserve">·</w:t>
      </w:r>
      <w:r w:rsidDel="00000000" w:rsidR="00000000" w:rsidRPr="00000000">
        <w:rPr>
          <w:rFonts w:ascii="Times New Roman" w:cs="Times New Roman" w:eastAsia="Times New Roman" w:hAnsi="Times New Roman"/>
          <w:color w:val="3c3c3c"/>
          <w:sz w:val="14"/>
          <w:szCs w:val="14"/>
          <w:rtl w:val="0"/>
        </w:rPr>
        <w:t xml:space="preserve">      </w:t>
      </w:r>
      <w:r w:rsidDel="00000000" w:rsidR="00000000" w:rsidRPr="00000000">
        <w:rPr>
          <w:color w:val="3c3c3c"/>
          <w:sz w:val="24"/>
          <w:szCs w:val="24"/>
          <w:rtl w:val="0"/>
        </w:rPr>
        <w:t xml:space="preserve">Helpless vs. responsible</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color w:val="3c3c3c"/>
          <w:sz w:val="24"/>
          <w:szCs w:val="24"/>
          <w:rtl w:val="0"/>
        </w:rPr>
        <w:t xml:space="preserve">Holistic vs. elementalistic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c3c3c"/>
          <w:sz w:val="24"/>
          <w:szCs w:val="24"/>
          <w:rtl w:val="0"/>
        </w:rPr>
        <w:t xml:space="preserve">Personal Beliefs about Change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c3c3c"/>
          <w:sz w:val="24"/>
          <w:szCs w:val="24"/>
          <w:rtl w:val="0"/>
        </w:rPr>
        <w:t xml:space="preserve">Personal Theoretical Orientation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c3c3c"/>
          <w:sz w:val="24"/>
          <w:szCs w:val="24"/>
          <w:rtl w:val="0"/>
        </w:rPr>
        <w:t xml:space="preserve">Application of Theoretical Orientation: Crisis and Consultation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c3c3c"/>
          <w:sz w:val="24"/>
          <w:szCs w:val="24"/>
          <w:rtl w:val="0"/>
        </w:rPr>
        <w:t xml:space="preserve">Biblical Integration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c3c3c"/>
          <w:sz w:val="18"/>
          <w:szCs w:val="18"/>
          <w:rtl w:val="0"/>
        </w:rPr>
        <w:t xml:space="preserve">Reference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4"/>
          <w:szCs w:val="24"/>
          <w:shd w:fill="ffe7af" w:val="clear"/>
          <w:rtl w:val="0"/>
        </w:rPr>
        <w:t xml:space="preserve">Corey, G. (1996). </w:t>
      </w:r>
      <w:r w:rsidDel="00000000" w:rsidR="00000000" w:rsidRPr="00000000">
        <w:rPr>
          <w:i w:val="1"/>
          <w:color w:val="333333"/>
          <w:sz w:val="24"/>
          <w:szCs w:val="24"/>
          <w:rtl w:val="0"/>
        </w:rPr>
        <w:t xml:space="preserve">Theory and practice of counseling and psychotherapy</w:t>
      </w:r>
      <w:r w:rsidDel="00000000" w:rsidR="00000000" w:rsidRPr="00000000">
        <w:rPr>
          <w:color w:val="333333"/>
          <w:sz w:val="24"/>
          <w:szCs w:val="24"/>
          <w:shd w:fill="ffe7af" w:val="clear"/>
          <w:rtl w:val="0"/>
        </w:rPr>
        <w:t xml:space="preserve"> (9th ed.). Pacific Grove: Brooks/Cole Pub.</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