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CA6A9" w14:textId="77777777" w:rsidR="007C5683" w:rsidRPr="00070313" w:rsidRDefault="007C5683" w:rsidP="007C5683">
      <w:pPr>
        <w:spacing w:line="480" w:lineRule="auto"/>
        <w:rPr>
          <w:rFonts w:asciiTheme="majorBidi" w:hAnsiTheme="majorBidi" w:cstheme="majorBidi"/>
          <w:sz w:val="24"/>
        </w:rPr>
      </w:pPr>
      <w:bookmarkStart w:id="0" w:name="_GoBack"/>
      <w:r w:rsidRPr="00070313">
        <w:rPr>
          <w:rFonts w:asciiTheme="majorBidi" w:hAnsiTheme="majorBidi" w:cstheme="majorBidi"/>
          <w:b/>
          <w:bCs/>
          <w:sz w:val="26"/>
          <w:szCs w:val="26"/>
        </w:rPr>
        <w:t xml:space="preserve">Literature Review 2 </w:t>
      </w:r>
    </w:p>
    <w:bookmarkEnd w:id="0"/>
    <w:p w14:paraId="1BC25FE3" w14:textId="77777777" w:rsidR="007C5683" w:rsidRPr="00070313" w:rsidRDefault="007C5683" w:rsidP="007C5683">
      <w:pPr>
        <w:spacing w:after="240" w:line="480" w:lineRule="auto"/>
        <w:rPr>
          <w:rFonts w:asciiTheme="majorBidi" w:hAnsiTheme="majorBidi" w:cstheme="majorBidi"/>
          <w:sz w:val="24"/>
        </w:rPr>
      </w:pPr>
      <w:r w:rsidRPr="00070313">
        <w:rPr>
          <w:rFonts w:asciiTheme="majorBidi" w:hAnsiTheme="majorBidi" w:cstheme="majorBidi"/>
          <w:sz w:val="24"/>
        </w:rPr>
        <w:t xml:space="preserve">Several authors have study the aborigines’ history and conditions in Taiwan. (Dixon &amp; Scheurell, 1995) find that these aborigines have similar histories and find themselves in similar situations than other aborigines around the world.  They often their lands have been colonized, they have suffered political subjugation, neglect, separation, and cultural marginalization Hsu (2009) report that most of Taiwanese aborigines face socioeconomic problems and therefore live in poverty, and sustain high unemployment rates. Although the Taiwanese Government have adopted various policies and services to cope with indigenous problems, the various inequalities and barriers for aborigines attempting to access health and social care services remain in place. </w:t>
      </w:r>
    </w:p>
    <w:p w14:paraId="0AE54DAD" w14:textId="77777777" w:rsidR="007C5683" w:rsidRPr="00070313" w:rsidRDefault="007C5683" w:rsidP="007C5683">
      <w:pPr>
        <w:shd w:val="clear" w:color="auto" w:fill="FFFFFF"/>
        <w:spacing w:before="300" w:after="226" w:line="480" w:lineRule="auto"/>
        <w:rPr>
          <w:rFonts w:asciiTheme="majorBidi" w:hAnsiTheme="majorBidi" w:cstheme="majorBidi"/>
          <w:color w:val="000000"/>
          <w:sz w:val="24"/>
          <w:shd w:val="clear" w:color="auto" w:fill="FFFFFF"/>
          <w:lang w:bidi="ar"/>
        </w:rPr>
      </w:pPr>
      <w:r w:rsidRPr="00070313">
        <w:rPr>
          <w:rFonts w:asciiTheme="majorBidi" w:hAnsiTheme="majorBidi" w:cstheme="majorBidi"/>
          <w:color w:val="000000"/>
          <w:sz w:val="24"/>
        </w:rPr>
        <w:t xml:space="preserve">Teyra </w:t>
      </w:r>
      <w:r w:rsidRPr="00070313">
        <w:rPr>
          <w:rFonts w:asciiTheme="majorBidi" w:hAnsiTheme="majorBidi" w:cstheme="majorBidi"/>
          <w:color w:val="000000"/>
          <w:sz w:val="24"/>
          <w:shd w:val="clear" w:color="auto" w:fill="FFFFFF"/>
          <w:lang w:bidi="ar"/>
        </w:rPr>
        <w:t xml:space="preserve">(2015), Chen </w:t>
      </w:r>
      <w:r w:rsidRPr="00070313">
        <w:rPr>
          <w:rFonts w:asciiTheme="majorBidi" w:hAnsiTheme="majorBidi" w:cstheme="majorBidi"/>
          <w:i/>
          <w:color w:val="000000"/>
          <w:sz w:val="24"/>
          <w:shd w:val="clear" w:color="auto" w:fill="FFFFFF"/>
          <w:lang w:bidi="ar"/>
        </w:rPr>
        <w:t xml:space="preserve">et al </w:t>
      </w:r>
      <w:r w:rsidRPr="00070313">
        <w:rPr>
          <w:rFonts w:asciiTheme="majorBidi" w:hAnsiTheme="majorBidi" w:cstheme="majorBidi"/>
          <w:color w:val="000000"/>
          <w:sz w:val="24"/>
          <w:shd w:val="clear" w:color="auto" w:fill="FFFFFF"/>
          <w:lang w:bidi="ar"/>
        </w:rPr>
        <w:t xml:space="preserve">(2014), and Yen </w:t>
      </w:r>
      <w:r w:rsidRPr="00070313">
        <w:rPr>
          <w:rFonts w:asciiTheme="majorBidi" w:hAnsiTheme="majorBidi" w:cstheme="majorBidi"/>
          <w:i/>
          <w:color w:val="000000"/>
          <w:sz w:val="24"/>
          <w:shd w:val="clear" w:color="auto" w:fill="FFFFFF"/>
          <w:lang w:bidi="ar"/>
        </w:rPr>
        <w:t xml:space="preserve">et al </w:t>
      </w:r>
      <w:r w:rsidRPr="00070313">
        <w:rPr>
          <w:rFonts w:asciiTheme="majorBidi" w:hAnsiTheme="majorBidi" w:cstheme="majorBidi"/>
          <w:color w:val="000000"/>
          <w:sz w:val="24"/>
          <w:shd w:val="clear" w:color="auto" w:fill="FFFFFF"/>
          <w:lang w:bidi="ar"/>
        </w:rPr>
        <w:t xml:space="preserve">(2006), among others, explore the problem of alcoholism among indigenous Taiwanese. </w:t>
      </w:r>
      <w:r w:rsidRPr="00070313">
        <w:rPr>
          <w:rFonts w:asciiTheme="majorBidi" w:hAnsiTheme="majorBidi" w:cstheme="majorBidi"/>
          <w:sz w:val="24"/>
        </w:rPr>
        <w:t xml:space="preserve">They find that the prevalence of indigenous alcohol youth is two times higher than the national average in Taiwan. Alcohol-involved accidental injuries and illness are now the leading cause of death among Taiwanese indigenous people. They also find that </w:t>
      </w:r>
      <w:r w:rsidRPr="00070313">
        <w:rPr>
          <w:rFonts w:asciiTheme="majorBidi" w:hAnsiTheme="majorBidi" w:cstheme="majorBidi"/>
          <w:sz w:val="24"/>
          <w:shd w:val="clear" w:color="auto" w:fill="FFFFFF"/>
        </w:rPr>
        <w:t>w</w:t>
      </w:r>
      <w:r w:rsidRPr="00070313">
        <w:rPr>
          <w:rFonts w:asciiTheme="majorBidi" w:hAnsiTheme="majorBidi" w:cstheme="majorBidi"/>
          <w:sz w:val="24"/>
        </w:rPr>
        <w:t xml:space="preserve">hen individuals are knowledgeable about alcohol-related health issues, their families generally function better. </w:t>
      </w:r>
    </w:p>
    <w:p w14:paraId="19E1A0E5" w14:textId="77777777" w:rsidR="007C5683" w:rsidRPr="00070313" w:rsidRDefault="007C5683" w:rsidP="007C5683">
      <w:pPr>
        <w:spacing w:after="240" w:line="480" w:lineRule="auto"/>
        <w:rPr>
          <w:rFonts w:asciiTheme="majorBidi" w:hAnsiTheme="majorBidi" w:cstheme="majorBidi"/>
          <w:sz w:val="24"/>
        </w:rPr>
      </w:pPr>
      <w:r w:rsidRPr="00070313">
        <w:rPr>
          <w:rFonts w:asciiTheme="majorBidi" w:hAnsiTheme="majorBidi" w:cstheme="majorBidi"/>
          <w:sz w:val="24"/>
        </w:rPr>
        <w:t xml:space="preserve">Weng </w:t>
      </w:r>
      <w:r w:rsidRPr="00070313">
        <w:rPr>
          <w:rFonts w:asciiTheme="majorBidi" w:hAnsiTheme="majorBidi" w:cstheme="majorBidi"/>
          <w:i/>
          <w:sz w:val="24"/>
        </w:rPr>
        <w:t>et al</w:t>
      </w:r>
      <w:r w:rsidRPr="00070313">
        <w:rPr>
          <w:rFonts w:asciiTheme="majorBidi" w:hAnsiTheme="majorBidi" w:cstheme="majorBidi"/>
          <w:sz w:val="24"/>
        </w:rPr>
        <w:t xml:space="preserve"> (2016) report that t</w:t>
      </w:r>
      <w:r w:rsidRPr="00070313">
        <w:rPr>
          <w:rFonts w:asciiTheme="majorBidi" w:eastAsia="Helvetica Neue" w:hAnsiTheme="majorBidi" w:cstheme="majorBidi"/>
          <w:bCs/>
          <w:color w:val="000000"/>
          <w:sz w:val="24"/>
          <w:shd w:val="clear" w:color="auto" w:fill="FFFFFF"/>
          <w:lang w:bidi="ar"/>
        </w:rPr>
        <w:t xml:space="preserve">he number of juvenile suspects in criminal investigations has grown over the past decade, even as the population of young Taiwanese continues to decrease, indicating that today’s youth are struggling to face increasing societal and psychological pressures. </w:t>
      </w:r>
      <w:r w:rsidRPr="00070313">
        <w:rPr>
          <w:rFonts w:asciiTheme="majorBidi" w:hAnsiTheme="majorBidi" w:cstheme="majorBidi"/>
          <w:sz w:val="24"/>
        </w:rPr>
        <w:t xml:space="preserve">Juvenile crime tripled between 2005 and 2010. In 2000, over a third of drug-related offenses </w:t>
      </w:r>
      <w:r w:rsidRPr="00070313">
        <w:rPr>
          <w:rFonts w:asciiTheme="majorBidi" w:eastAsia="Helvetica Neue" w:hAnsiTheme="majorBidi" w:cstheme="majorBidi"/>
          <w:bCs/>
          <w:color w:val="000000"/>
          <w:sz w:val="24"/>
          <w:shd w:val="clear" w:color="auto" w:fill="FFFFFF"/>
          <w:lang w:bidi="ar"/>
        </w:rPr>
        <w:t xml:space="preserve">and sexual offenses </w:t>
      </w:r>
      <w:r w:rsidRPr="00070313">
        <w:rPr>
          <w:rFonts w:asciiTheme="majorBidi" w:hAnsiTheme="majorBidi" w:cstheme="majorBidi"/>
          <w:sz w:val="24"/>
        </w:rPr>
        <w:t>were committed by youth.</w:t>
      </w:r>
      <w:r w:rsidRPr="00070313">
        <w:rPr>
          <w:rFonts w:asciiTheme="majorBidi" w:eastAsia="Helvetica Neue" w:hAnsiTheme="majorBidi" w:cstheme="majorBidi"/>
          <w:bCs/>
          <w:color w:val="000000"/>
          <w:sz w:val="24"/>
          <w:shd w:val="clear" w:color="auto" w:fill="FFFFFF"/>
          <w:lang w:bidi="ar"/>
        </w:rPr>
        <w:t xml:space="preserve"> The rise in juvenile delinquency was mainly caused by “psychological factors,” including a lack of self-restraint, disorderly personalities and a lack of basic knowledge of the law. “Parents’ being unaware of where their </w:t>
      </w:r>
      <w:r w:rsidRPr="00070313">
        <w:rPr>
          <w:rFonts w:asciiTheme="majorBidi" w:eastAsia="Helvetica Neue" w:hAnsiTheme="majorBidi" w:cstheme="majorBidi"/>
          <w:bCs/>
          <w:color w:val="000000"/>
          <w:sz w:val="24"/>
          <w:shd w:val="clear" w:color="auto" w:fill="FFFFFF"/>
          <w:lang w:bidi="ar"/>
        </w:rPr>
        <w:lastRenderedPageBreak/>
        <w:t xml:space="preserve">children hang out after school is the main cause behind these two offenses. </w:t>
      </w:r>
      <w:r w:rsidRPr="00070313">
        <w:rPr>
          <w:rFonts w:asciiTheme="majorBidi" w:hAnsiTheme="majorBidi" w:cstheme="majorBidi"/>
          <w:bCs/>
          <w:sz w:val="24"/>
        </w:rPr>
        <w:t xml:space="preserve">Pei-Yuen Tsai, (2008). </w:t>
      </w:r>
      <w:r w:rsidRPr="00070313">
        <w:rPr>
          <w:rFonts w:asciiTheme="majorBidi" w:eastAsia="Helvetica Neue" w:hAnsiTheme="majorBidi" w:cstheme="majorBidi"/>
          <w:bCs/>
          <w:color w:val="000000"/>
          <w:sz w:val="24"/>
          <w:shd w:val="clear" w:color="auto" w:fill="FFFFFF"/>
          <w:lang w:bidi="ar"/>
        </w:rPr>
        <w:t>Also t</w:t>
      </w:r>
      <w:r w:rsidRPr="00070313">
        <w:rPr>
          <w:rFonts w:asciiTheme="majorBidi" w:hAnsiTheme="majorBidi" w:cstheme="majorBidi"/>
          <w:sz w:val="24"/>
        </w:rPr>
        <w:t>he rise in juvenile delinquency has been attributed to the deterioration of the family system and the competitive education system in Taiwan. Fathers spend more time away from the home, and single-parent homes have increased. Many 15 years old children have nowhere to go after finishing their nine years of compulsory education. At the same time, although increasing labor market participation of women contributes to the growth of the economy and government revenues, it also brings the pressures of care to families. Thus, a “care gap” has been generated and it is more difficult for families to provide care for children.</w:t>
      </w:r>
    </w:p>
    <w:p w14:paraId="7FE629C2" w14:textId="77777777" w:rsidR="007C5683" w:rsidRPr="00070313" w:rsidRDefault="007C5683" w:rsidP="007C5683">
      <w:pPr>
        <w:spacing w:after="240" w:line="480" w:lineRule="auto"/>
        <w:rPr>
          <w:rFonts w:asciiTheme="majorBidi" w:hAnsiTheme="majorBidi" w:cstheme="majorBidi"/>
          <w:sz w:val="24"/>
        </w:rPr>
      </w:pPr>
      <w:r w:rsidRPr="00070313">
        <w:rPr>
          <w:rFonts w:asciiTheme="majorBidi" w:hAnsiTheme="majorBidi" w:cstheme="majorBidi"/>
          <w:sz w:val="24"/>
        </w:rPr>
        <w:t xml:space="preserve">Weng (2016) indicate that aboriginal adolescents experience more serious mental health problems than the adolescents living in the general population, including racial discrimination and growing up under particularly stressful circumstances. Family adversity, including low socioeconomic status, family disruption, family criminality, and poor family health have all been suggested to be responsible for increasing the risk of developing psychopathology among adolescents. Aboriginal adolescents feature more severe psychopathology than non-aboriginal adolescents, and indicated that females and adolescents perceiving higher levels of family conflict and lower family support were more likely to experience more severe psychopathology than those perceiving the contrary. Research has also indicated that adolescents are at greatest risk for divorce-related problems both during the divorce crisis and for a time after their parents separate, with significant recovery occurring for the majority of youth by one to two years after the separation. In Taiwan, children whose parents are divorced often grow up in the care of their grandparents or other family members. Therefore, any intervention to the aboriginal adolescents that aims to improve the mental health of adolescents living in impoverished regions must take into consideration their ethnicity, gender, and family context when devising such treatment strategies. </w:t>
      </w:r>
    </w:p>
    <w:p w14:paraId="3BDCFD00" w14:textId="77777777" w:rsidR="007C5683" w:rsidRPr="00070313" w:rsidRDefault="007C5683" w:rsidP="007C5683">
      <w:pPr>
        <w:spacing w:line="480" w:lineRule="auto"/>
        <w:rPr>
          <w:rFonts w:asciiTheme="majorBidi" w:hAnsiTheme="majorBidi" w:cstheme="majorBidi"/>
        </w:rPr>
      </w:pPr>
      <w:r w:rsidRPr="00070313">
        <w:rPr>
          <w:rFonts w:asciiTheme="majorBidi" w:hAnsiTheme="majorBidi" w:cstheme="majorBidi"/>
          <w:sz w:val="24"/>
        </w:rPr>
        <w:t xml:space="preserve">No impact evaluations have been found on any of the interventions being carried out in Taitung country using integral development methodologies or otherwise.  The proposed study will be the first on of its kind.  Notwithstanding cultural and institutional differences, the impact evaluation of Aguirre (2013) of N’Qatoqui, a civic education intervention based on values, could be of assistance for this work.  The imapct evaluation was carried out in poor indigenous households and children in a high crime zone of Guatemala. Another relevant evaluation for this study was found on Aguirre and Cruz (2013), where a community development intervention for poor indigenous communities in the highlands of Guatemala was evaluated. These communities are similar in size, are agricultural communities and live in remote areas.  Albeit the poverty level in the communities of Taiwan are not as stricken, they share similar characteristics and programmatic components.    </w:t>
      </w:r>
    </w:p>
    <w:p w14:paraId="27E2B6DA" w14:textId="77777777" w:rsidR="007C5683" w:rsidRPr="00070313" w:rsidRDefault="007C5683" w:rsidP="007C5683">
      <w:pPr>
        <w:rPr>
          <w:rFonts w:asciiTheme="majorBidi" w:hAnsiTheme="majorBidi" w:cstheme="majorBidi"/>
        </w:rPr>
      </w:pPr>
    </w:p>
    <w:p w14:paraId="3F8D9878" w14:textId="77777777" w:rsidR="007C5683" w:rsidRPr="00070313" w:rsidRDefault="007C5683" w:rsidP="007C5683">
      <w:pPr>
        <w:rPr>
          <w:rFonts w:asciiTheme="majorBidi" w:hAnsiTheme="majorBidi" w:cstheme="majorBidi"/>
        </w:rPr>
      </w:pPr>
    </w:p>
    <w:p w14:paraId="361F142D" w14:textId="77777777" w:rsidR="007C5683" w:rsidRPr="00070313" w:rsidRDefault="007C5683" w:rsidP="007C5683">
      <w:pPr>
        <w:rPr>
          <w:rFonts w:asciiTheme="majorBidi" w:hAnsiTheme="majorBidi" w:cstheme="majorBidi"/>
        </w:rPr>
      </w:pPr>
    </w:p>
    <w:p w14:paraId="6155E15B" w14:textId="77777777" w:rsidR="004C540F" w:rsidRDefault="007C5683"/>
    <w:sectPr w:rsidR="004C540F" w:rsidSect="004E3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83"/>
    <w:rsid w:val="004E30E3"/>
    <w:rsid w:val="007C5683"/>
    <w:rsid w:val="00DE2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4ECFB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5683"/>
    <w:pPr>
      <w:spacing w:after="200" w:line="276"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4295</Characters>
  <Application>Microsoft Macintosh Word</Application>
  <DocSecurity>0</DocSecurity>
  <Lines>35</Lines>
  <Paragraphs>10</Paragraphs>
  <ScaleCrop>false</ScaleCrop>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aseel arshad</dc:creator>
  <cp:keywords/>
  <dc:description/>
  <cp:lastModifiedBy>aseel arshad</cp:lastModifiedBy>
  <cp:revision>1</cp:revision>
  <dcterms:created xsi:type="dcterms:W3CDTF">2017-06-06T03:58:00Z</dcterms:created>
  <dcterms:modified xsi:type="dcterms:W3CDTF">2017-06-06T03:59:00Z</dcterms:modified>
</cp:coreProperties>
</file>