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BA34A7" w14:textId="77777777" w:rsidR="00CC66B3" w:rsidRPr="00070313" w:rsidRDefault="00CC66B3" w:rsidP="00CC66B3">
      <w:pPr>
        <w:pStyle w:val="Heading3"/>
      </w:pPr>
      <w:bookmarkStart w:id="0" w:name="_Toc478313901"/>
      <w:r>
        <w:rPr>
          <w:rFonts w:hint="eastAsia"/>
        </w:rPr>
        <w:t>Literat</w:t>
      </w:r>
      <w:r w:rsidRPr="00070313">
        <w:t>ure Review</w:t>
      </w:r>
      <w:bookmarkEnd w:id="0"/>
      <w:r>
        <w:t xml:space="preserve"> 1</w:t>
      </w:r>
    </w:p>
    <w:p w14:paraId="0782B4DA" w14:textId="77777777" w:rsidR="00CC66B3" w:rsidRPr="00070313" w:rsidRDefault="00CC66B3" w:rsidP="00CC66B3">
      <w:pPr>
        <w:spacing w:line="480" w:lineRule="auto"/>
        <w:rPr>
          <w:rFonts w:asciiTheme="majorBidi" w:hAnsiTheme="majorBidi" w:cstheme="majorBidi"/>
          <w:bCs/>
          <w:sz w:val="24"/>
          <w:szCs w:val="24"/>
        </w:rPr>
      </w:pPr>
      <w:r w:rsidRPr="00070313">
        <w:rPr>
          <w:rFonts w:asciiTheme="majorBidi" w:hAnsiTheme="majorBidi" w:cstheme="majorBidi"/>
          <w:bCs/>
          <w:sz w:val="24"/>
          <w:szCs w:val="24"/>
        </w:rPr>
        <w:t>Family violence had been absent in social science research until the 1960s.  The systematic study of child abuse can be dated to a publication in 1962 (Kempe et al. 1962).  Research about other forms of family violence is even later than the 1960s.  There is a great deal of ethical concerns and constraints, as well as considerations as for whether to provide punitive actions against the offenders.  The ideological preferences of whether an intervention’s priority is to protect the victims or to maintain the integrity of a family also may change during different historical times and cultures (</w:t>
      </w:r>
      <w:proofErr w:type="spellStart"/>
      <w:r w:rsidRPr="00070313">
        <w:rPr>
          <w:rFonts w:asciiTheme="majorBidi" w:hAnsiTheme="majorBidi" w:cstheme="majorBidi"/>
          <w:bCs/>
          <w:sz w:val="24"/>
          <w:szCs w:val="24"/>
        </w:rPr>
        <w:t>Zimring</w:t>
      </w:r>
      <w:proofErr w:type="spellEnd"/>
      <w:r w:rsidRPr="00070313">
        <w:rPr>
          <w:rFonts w:asciiTheme="majorBidi" w:hAnsiTheme="majorBidi" w:cstheme="majorBidi"/>
          <w:bCs/>
          <w:sz w:val="24"/>
          <w:szCs w:val="24"/>
        </w:rPr>
        <w:t xml:space="preserve">, 1989).  Due to the above-mentioned reasons, family violence research retains a lack of methodological rigor, with extensive but non-definitive literature (Lloyd &amp; Michael 1989).  In Taiwan, family affairs, including domestic violence, are viewed traditionally as private matters.  As the old Chinese saying goes “even a brilliant judge cannot well decide among family feuds.”  In 1998, however, the passing of the Domestic Violence Prevention Law has brought these issues from behind closed doors to be more publicly exposed.  According to the Family Violence Prevention Center (2001), 97% of domestic violence victims were females in Taiwan.  Domestic violence is not only afflicting health issues of the victim and her family, but also possesses a severe and chronic public health problem (Campbell and Lewandowski, 1997).  Both mental and physical health conditions are jeopardized chronically (Huang and Hsu, 1998; Smith and </w:t>
      </w:r>
      <w:proofErr w:type="spellStart"/>
      <w:r w:rsidRPr="00070313">
        <w:rPr>
          <w:rFonts w:asciiTheme="majorBidi" w:hAnsiTheme="majorBidi" w:cstheme="majorBidi"/>
          <w:bCs/>
          <w:sz w:val="24"/>
          <w:szCs w:val="24"/>
        </w:rPr>
        <w:t>Gittelman</w:t>
      </w:r>
      <w:proofErr w:type="spellEnd"/>
      <w:r w:rsidRPr="00070313">
        <w:rPr>
          <w:rFonts w:asciiTheme="majorBidi" w:hAnsiTheme="majorBidi" w:cstheme="majorBidi"/>
          <w:bCs/>
          <w:sz w:val="24"/>
          <w:szCs w:val="24"/>
        </w:rPr>
        <w:t>, 1994).</w:t>
      </w:r>
    </w:p>
    <w:p w14:paraId="3C60BBEE" w14:textId="77777777" w:rsidR="00CC66B3" w:rsidRPr="00070313" w:rsidRDefault="00CC66B3" w:rsidP="00CC66B3">
      <w:pPr>
        <w:spacing w:line="480" w:lineRule="auto"/>
        <w:rPr>
          <w:rFonts w:asciiTheme="majorBidi" w:hAnsiTheme="majorBidi" w:cstheme="majorBidi"/>
          <w:bCs/>
          <w:sz w:val="24"/>
          <w:szCs w:val="24"/>
        </w:rPr>
      </w:pPr>
      <w:r w:rsidRPr="00070313">
        <w:rPr>
          <w:rFonts w:asciiTheme="majorBidi" w:hAnsiTheme="majorBidi" w:cstheme="majorBidi"/>
          <w:bCs/>
          <w:sz w:val="24"/>
          <w:szCs w:val="24"/>
        </w:rPr>
        <w:t xml:space="preserve">In Taiwan, research regarding the mental health issues of abused woman is small.  In an interview study of more than 100 abused women from the city of Kaohsiung in southern Taiwan, </w:t>
      </w:r>
      <w:proofErr w:type="spellStart"/>
      <w:r w:rsidRPr="00070313">
        <w:rPr>
          <w:rFonts w:asciiTheme="majorBidi" w:hAnsiTheme="majorBidi" w:cstheme="majorBidi"/>
          <w:bCs/>
          <w:sz w:val="24"/>
          <w:szCs w:val="24"/>
        </w:rPr>
        <w:t>Hou</w:t>
      </w:r>
      <w:proofErr w:type="spellEnd"/>
      <w:r w:rsidRPr="00070313">
        <w:rPr>
          <w:rFonts w:asciiTheme="majorBidi" w:hAnsiTheme="majorBidi" w:cstheme="majorBidi"/>
          <w:bCs/>
          <w:sz w:val="24"/>
          <w:szCs w:val="24"/>
        </w:rPr>
        <w:t xml:space="preserve"> </w:t>
      </w:r>
      <w:r w:rsidRPr="00070313">
        <w:rPr>
          <w:rFonts w:asciiTheme="majorBidi" w:hAnsiTheme="majorBidi" w:cstheme="majorBidi"/>
          <w:bCs/>
          <w:i/>
          <w:sz w:val="24"/>
          <w:szCs w:val="24"/>
        </w:rPr>
        <w:t>et al</w:t>
      </w:r>
      <w:r w:rsidRPr="00070313">
        <w:rPr>
          <w:rFonts w:asciiTheme="majorBidi" w:hAnsiTheme="majorBidi" w:cstheme="majorBidi"/>
          <w:bCs/>
          <w:sz w:val="24"/>
          <w:szCs w:val="24"/>
        </w:rPr>
        <w:t xml:space="preserve"> (2004) found that when abused women face more dangerous life-threatening situations, they have a greater overall post-traumatic response, and a higher level of intrusion and general severity index (GSI).  This finding was similar to the result received by </w:t>
      </w:r>
      <w:proofErr w:type="spellStart"/>
      <w:r w:rsidRPr="00070313">
        <w:rPr>
          <w:rFonts w:asciiTheme="majorBidi" w:hAnsiTheme="majorBidi" w:cstheme="majorBidi"/>
          <w:bCs/>
          <w:sz w:val="24"/>
          <w:szCs w:val="24"/>
        </w:rPr>
        <w:t>Houskamp</w:t>
      </w:r>
      <w:proofErr w:type="spellEnd"/>
      <w:r w:rsidRPr="00070313">
        <w:rPr>
          <w:rFonts w:asciiTheme="majorBidi" w:hAnsiTheme="majorBidi" w:cstheme="majorBidi"/>
          <w:bCs/>
          <w:sz w:val="24"/>
          <w:szCs w:val="24"/>
        </w:rPr>
        <w:t xml:space="preserve"> and Foy </w:t>
      </w:r>
      <w:r w:rsidRPr="00070313">
        <w:rPr>
          <w:rFonts w:asciiTheme="majorBidi" w:hAnsiTheme="majorBidi" w:cstheme="majorBidi"/>
          <w:bCs/>
          <w:sz w:val="24"/>
          <w:szCs w:val="24"/>
        </w:rPr>
        <w:lastRenderedPageBreak/>
        <w:t xml:space="preserve">(1991).  It is inferred by </w:t>
      </w:r>
      <w:proofErr w:type="spellStart"/>
      <w:r w:rsidRPr="00070313">
        <w:rPr>
          <w:rFonts w:asciiTheme="majorBidi" w:hAnsiTheme="majorBidi" w:cstheme="majorBidi"/>
          <w:bCs/>
          <w:sz w:val="24"/>
          <w:szCs w:val="24"/>
        </w:rPr>
        <w:t>Hou</w:t>
      </w:r>
      <w:proofErr w:type="spellEnd"/>
      <w:r w:rsidRPr="00070313">
        <w:rPr>
          <w:rFonts w:asciiTheme="majorBidi" w:hAnsiTheme="majorBidi" w:cstheme="majorBidi"/>
          <w:bCs/>
          <w:sz w:val="24"/>
          <w:szCs w:val="24"/>
        </w:rPr>
        <w:t xml:space="preserve"> </w:t>
      </w:r>
      <w:r w:rsidRPr="00070313">
        <w:rPr>
          <w:rFonts w:asciiTheme="majorBidi" w:hAnsiTheme="majorBidi" w:cstheme="majorBidi"/>
          <w:bCs/>
          <w:i/>
          <w:sz w:val="24"/>
          <w:szCs w:val="24"/>
        </w:rPr>
        <w:t>et al</w:t>
      </w:r>
      <w:r w:rsidRPr="00070313">
        <w:rPr>
          <w:rFonts w:asciiTheme="majorBidi" w:hAnsiTheme="majorBidi" w:cstheme="majorBidi"/>
          <w:bCs/>
          <w:sz w:val="24"/>
          <w:szCs w:val="24"/>
        </w:rPr>
        <w:t xml:space="preserve"> (2004) that in lack of appropriate support and intervention for the abused women, they are in danger of developing PTSD, </w:t>
      </w:r>
      <w:proofErr w:type="spellStart"/>
      <w:r w:rsidRPr="00070313">
        <w:rPr>
          <w:rFonts w:asciiTheme="majorBidi" w:hAnsiTheme="majorBidi" w:cstheme="majorBidi"/>
          <w:bCs/>
          <w:sz w:val="24"/>
          <w:szCs w:val="24"/>
        </w:rPr>
        <w:t>post traumatic</w:t>
      </w:r>
      <w:proofErr w:type="spellEnd"/>
      <w:r w:rsidRPr="00070313">
        <w:rPr>
          <w:rFonts w:asciiTheme="majorBidi" w:hAnsiTheme="majorBidi" w:cstheme="majorBidi"/>
          <w:bCs/>
          <w:sz w:val="24"/>
          <w:szCs w:val="24"/>
        </w:rPr>
        <w:t xml:space="preserve"> stress disorder, in the future.  As a result, it is important for health care providers to be able to assess the mental health problems in addition to the treatment of physical injuries of the abused women.  Women’s support network, medical professionals, and government social workers should establish cooperative ties and approaches to assist abused women and to build a trusting environment.  The Galilee Foundation provides services to accompany women, which is part of women’s' support networks.  It provides mental companionship and training courses to guide the abused women to be able to stand up again from the broken relationship.  Given the variety of disciplines involved in family violence, it may be more comprehensive to include the criminologists’ interest in obtaining more deliberate delineation of the character and the scope of family violence, as well as of the effects of various measures of intervention and prevention by social services or criminal justice agencies (Lloyd &amp; Michael 1989).</w:t>
      </w:r>
    </w:p>
    <w:p w14:paraId="66165DCB" w14:textId="77777777" w:rsidR="00CC66B3" w:rsidRPr="00070313" w:rsidRDefault="00CC66B3" w:rsidP="00CC66B3">
      <w:pPr>
        <w:spacing w:after="240" w:line="480" w:lineRule="auto"/>
        <w:rPr>
          <w:rFonts w:asciiTheme="majorBidi" w:hAnsiTheme="majorBidi" w:cstheme="majorBidi"/>
          <w:color w:val="000000"/>
          <w:sz w:val="24"/>
          <w:shd w:val="clear" w:color="auto" w:fill="FFFFFF"/>
          <w:lang w:bidi="ar"/>
        </w:rPr>
      </w:pPr>
      <w:r w:rsidRPr="00070313">
        <w:rPr>
          <w:rFonts w:asciiTheme="majorBidi" w:hAnsiTheme="majorBidi" w:cstheme="majorBidi"/>
          <w:sz w:val="24"/>
        </w:rPr>
        <w:t xml:space="preserve">The other population group, the indigenous people, is also serviced by The Galilee Foundation.  Hsu (2009) reports that most of the Taiwanese indigenous population have socioeconomic problems, and therefore live in poverty and sustain high unemployment rates.  </w:t>
      </w:r>
      <w:proofErr w:type="spellStart"/>
      <w:r w:rsidRPr="00070313">
        <w:rPr>
          <w:rFonts w:asciiTheme="majorBidi" w:hAnsiTheme="majorBidi" w:cstheme="majorBidi"/>
          <w:color w:val="000000"/>
          <w:sz w:val="24"/>
        </w:rPr>
        <w:t>Teyra</w:t>
      </w:r>
      <w:proofErr w:type="spellEnd"/>
      <w:r w:rsidRPr="00070313">
        <w:rPr>
          <w:rFonts w:asciiTheme="majorBidi" w:hAnsiTheme="majorBidi" w:cstheme="majorBidi"/>
          <w:color w:val="000000"/>
          <w:sz w:val="24"/>
        </w:rPr>
        <w:t xml:space="preserve"> </w:t>
      </w:r>
      <w:r w:rsidRPr="00070313">
        <w:rPr>
          <w:rFonts w:asciiTheme="majorBidi" w:hAnsiTheme="majorBidi" w:cstheme="majorBidi"/>
          <w:color w:val="000000"/>
          <w:sz w:val="24"/>
          <w:shd w:val="clear" w:color="auto" w:fill="FFFFFF"/>
          <w:lang w:bidi="ar"/>
        </w:rPr>
        <w:t xml:space="preserve">(2015), Chen </w:t>
      </w:r>
      <w:r w:rsidRPr="00070313">
        <w:rPr>
          <w:rFonts w:asciiTheme="majorBidi" w:hAnsiTheme="majorBidi" w:cstheme="majorBidi"/>
          <w:i/>
          <w:color w:val="000000"/>
          <w:sz w:val="24"/>
          <w:shd w:val="clear" w:color="auto" w:fill="FFFFFF"/>
          <w:lang w:bidi="ar"/>
        </w:rPr>
        <w:t xml:space="preserve">et al </w:t>
      </w:r>
      <w:r w:rsidRPr="00070313">
        <w:rPr>
          <w:rFonts w:asciiTheme="majorBidi" w:hAnsiTheme="majorBidi" w:cstheme="majorBidi"/>
          <w:color w:val="000000"/>
          <w:sz w:val="24"/>
          <w:shd w:val="clear" w:color="auto" w:fill="FFFFFF"/>
          <w:lang w:bidi="ar"/>
        </w:rPr>
        <w:t xml:space="preserve">(2014), and Yen </w:t>
      </w:r>
      <w:r w:rsidRPr="00070313">
        <w:rPr>
          <w:rFonts w:asciiTheme="majorBidi" w:hAnsiTheme="majorBidi" w:cstheme="majorBidi"/>
          <w:i/>
          <w:color w:val="000000"/>
          <w:sz w:val="24"/>
          <w:shd w:val="clear" w:color="auto" w:fill="FFFFFF"/>
          <w:lang w:bidi="ar"/>
        </w:rPr>
        <w:t xml:space="preserve">et al </w:t>
      </w:r>
      <w:r w:rsidRPr="00070313">
        <w:rPr>
          <w:rFonts w:asciiTheme="majorBidi" w:hAnsiTheme="majorBidi" w:cstheme="majorBidi"/>
          <w:color w:val="000000"/>
          <w:sz w:val="24"/>
          <w:shd w:val="clear" w:color="auto" w:fill="FFFFFF"/>
          <w:lang w:bidi="ar"/>
        </w:rPr>
        <w:t xml:space="preserve">(2006), among others, explore the problem of alcoholism among indigenous Taiwanese.  </w:t>
      </w:r>
      <w:r w:rsidRPr="00070313">
        <w:rPr>
          <w:rFonts w:asciiTheme="majorBidi" w:hAnsiTheme="majorBidi" w:cstheme="majorBidi"/>
          <w:sz w:val="24"/>
        </w:rPr>
        <w:t xml:space="preserve">They find that the prevalence of indigenous alcoholic youth is twice as high as the national average.  Alcohol-involved accidental injuries and illnesses are now the leading causes of death among Taiwanese indigenous people.  They also find that </w:t>
      </w:r>
      <w:r w:rsidRPr="00070313">
        <w:rPr>
          <w:rFonts w:asciiTheme="majorBidi" w:hAnsiTheme="majorBidi" w:cstheme="majorBidi"/>
          <w:sz w:val="24"/>
          <w:shd w:val="clear" w:color="auto" w:fill="FFFFFF"/>
        </w:rPr>
        <w:t>w</w:t>
      </w:r>
      <w:r w:rsidRPr="00070313">
        <w:rPr>
          <w:rFonts w:asciiTheme="majorBidi" w:hAnsiTheme="majorBidi" w:cstheme="majorBidi"/>
          <w:sz w:val="24"/>
        </w:rPr>
        <w:t>hen individuals are knowledgeable about alcohol-related health issues, their families generally function better.</w:t>
      </w:r>
    </w:p>
    <w:p w14:paraId="031927C4" w14:textId="77777777" w:rsidR="00CC66B3" w:rsidRPr="00070313" w:rsidRDefault="00CC66B3" w:rsidP="00CC66B3">
      <w:pPr>
        <w:spacing w:line="480" w:lineRule="auto"/>
        <w:rPr>
          <w:rFonts w:asciiTheme="majorBidi" w:hAnsiTheme="majorBidi" w:cstheme="majorBidi"/>
          <w:sz w:val="24"/>
          <w:szCs w:val="24"/>
        </w:rPr>
      </w:pPr>
      <w:r w:rsidRPr="00070313">
        <w:rPr>
          <w:rFonts w:asciiTheme="majorBidi" w:hAnsiTheme="majorBidi" w:cstheme="majorBidi"/>
          <w:sz w:val="24"/>
          <w:szCs w:val="24"/>
        </w:rPr>
        <w:t>Human capital is an essential component of a country’s economic growth and productivity.  A skilled labor force will enable the country to enhance its service, products, and technology absorption.  Human capital also affects social capital from a holistic perspective, including mortality rates, children's education, and income distribution, among others.  The Taiwanese indigenous people face issues of relatively low educational attainment, thus leading to lower knowledge skills, which are related to their employment status and levels, to their income distribution, and also to their standards of living and their lifespan.  These are the factors of the Human Development Index (HDI) according to the United Nations.</w:t>
      </w:r>
    </w:p>
    <w:p w14:paraId="771736B5" w14:textId="77777777" w:rsidR="00CC66B3" w:rsidRPr="00070313" w:rsidRDefault="00CC66B3" w:rsidP="00CC66B3">
      <w:pPr>
        <w:spacing w:after="240" w:line="480" w:lineRule="auto"/>
        <w:rPr>
          <w:rFonts w:asciiTheme="majorBidi" w:hAnsiTheme="majorBidi" w:cstheme="majorBidi"/>
          <w:sz w:val="24"/>
          <w:szCs w:val="24"/>
        </w:rPr>
      </w:pPr>
      <w:r w:rsidRPr="00070313">
        <w:rPr>
          <w:rFonts w:asciiTheme="majorBidi" w:hAnsiTheme="majorBidi" w:cstheme="majorBidi"/>
          <w:sz w:val="24"/>
          <w:szCs w:val="24"/>
        </w:rPr>
        <w:t>The Galilee Foundation provides elementary school students needed guidance and financial management knowledge in order to bridge the gap of the missing human capital for the experimented indigenous tr</w:t>
      </w:r>
      <w:bookmarkStart w:id="1" w:name="_GoBack"/>
      <w:bookmarkEnd w:id="1"/>
      <w:r w:rsidRPr="00070313">
        <w:rPr>
          <w:rFonts w:asciiTheme="majorBidi" w:hAnsiTheme="majorBidi" w:cstheme="majorBidi"/>
          <w:sz w:val="24"/>
          <w:szCs w:val="24"/>
        </w:rPr>
        <w:t>ibes.  This will in return help economic development and an increase of productivity.</w:t>
      </w:r>
    </w:p>
    <w:p w14:paraId="509AB9E9" w14:textId="77777777" w:rsidR="004C540F" w:rsidRDefault="00CC66B3" w:rsidP="00CC66B3">
      <w:pPr>
        <w:spacing w:line="480" w:lineRule="auto"/>
      </w:pPr>
      <w:r w:rsidRPr="00070313">
        <w:rPr>
          <w:rFonts w:asciiTheme="majorBidi" w:hAnsiTheme="majorBidi" w:cstheme="majorBidi"/>
          <w:sz w:val="24"/>
          <w:szCs w:val="24"/>
        </w:rPr>
        <w:t xml:space="preserve">No impact evaluations have been found on any of the interventions being carried out in Taitung country using integral development methodologies or otherwise.  The proposed study will be the first one of its kind.  Although with cultural and institutional differences, the impact evaluation of Aguirre (2013) of </w:t>
      </w:r>
      <w:proofErr w:type="spellStart"/>
      <w:r w:rsidRPr="00070313">
        <w:rPr>
          <w:rFonts w:asciiTheme="majorBidi" w:hAnsiTheme="majorBidi" w:cstheme="majorBidi"/>
          <w:sz w:val="24"/>
          <w:szCs w:val="24"/>
        </w:rPr>
        <w:t>N’Qatoqui</w:t>
      </w:r>
      <w:proofErr w:type="spellEnd"/>
      <w:r w:rsidRPr="00070313">
        <w:rPr>
          <w:rFonts w:asciiTheme="majorBidi" w:hAnsiTheme="majorBidi" w:cstheme="majorBidi"/>
          <w:sz w:val="24"/>
          <w:szCs w:val="24"/>
        </w:rPr>
        <w:t>, a civic education intervention based on values, could be a frame of reference for this work.  The impact evaluation was carried out in poor indigenous households and in children in a high crime zone of Guatemala.  Another similar evaluation for this study was found in Aguirre and Cruz (2013), where a community development intervention for poor indigenous communities in the highlands of Guatemala was evaluated.  These communities are similar in size, are agricultural communities, and live in remote areas.  The poverty level in the communities of Taitung is not as stricken, yet they share similar characteristics in nature and programmatic components.</w:t>
      </w:r>
    </w:p>
    <w:sectPr w:rsidR="004C540F" w:rsidSect="004E30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6B3"/>
    <w:rsid w:val="004E30E3"/>
    <w:rsid w:val="00CC66B3"/>
    <w:rsid w:val="00DE2F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D8A1C7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C66B3"/>
    <w:pPr>
      <w:spacing w:after="200" w:line="276" w:lineRule="auto"/>
    </w:pPr>
    <w:rPr>
      <w:rFonts w:eastAsiaTheme="minorEastAsia"/>
      <w:sz w:val="22"/>
      <w:szCs w:val="22"/>
      <w:lang w:eastAsia="zh-CN"/>
    </w:rPr>
  </w:style>
  <w:style w:type="paragraph" w:styleId="Heading3">
    <w:name w:val="heading 3"/>
    <w:basedOn w:val="Normal"/>
    <w:link w:val="Heading3Char"/>
    <w:uiPriority w:val="9"/>
    <w:qFormat/>
    <w:rsid w:val="00CC66B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C66B3"/>
    <w:rPr>
      <w:rFonts w:ascii="Times New Roman" w:eastAsia="Times New Roman" w:hAnsi="Times New Roman" w:cs="Times New Roman"/>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890</Words>
  <Characters>5076</Characters>
  <Application>Microsoft Macintosh Word</Application>
  <DocSecurity>0</DocSecurity>
  <Lines>42</Lines>
  <Paragraphs>11</Paragraphs>
  <ScaleCrop>false</ScaleCrop>
  <LinksUpToDate>false</LinksUpToDate>
  <CharactersWithSpaces>5955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aseel arshad</dc:creator>
  <cp:keywords/>
  <dc:description/>
  <cp:lastModifiedBy>aseel arshad</cp:lastModifiedBy>
  <cp:revision>1</cp:revision>
  <dcterms:created xsi:type="dcterms:W3CDTF">2017-06-06T04:00:00Z</dcterms:created>
  <dcterms:modified xsi:type="dcterms:W3CDTF">2017-06-06T04:01:00Z</dcterms:modified>
</cp:coreProperties>
</file>