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B68BA" w14:textId="77777777" w:rsidR="00715A79" w:rsidRPr="002C0CC6" w:rsidRDefault="002C0CC6" w:rsidP="00855B9E">
      <w:pPr>
        <w:jc w:val="center"/>
        <w:rPr>
          <w:rFonts w:ascii="Garamond" w:hAnsi="Garamond"/>
          <w:b/>
          <w:bCs/>
          <w:smallCaps/>
          <w:sz w:val="28"/>
          <w:szCs w:val="28"/>
          <w:u w:val="single"/>
        </w:rPr>
      </w:pPr>
      <w:bookmarkStart w:id="0" w:name="_GoBack"/>
      <w:bookmarkEnd w:id="0"/>
      <w:r w:rsidRPr="002C0CC6">
        <w:rPr>
          <w:rFonts w:ascii="Garamond" w:hAnsi="Garamond"/>
          <w:b/>
          <w:bCs/>
          <w:smallCaps/>
          <w:sz w:val="28"/>
          <w:szCs w:val="28"/>
          <w:u w:val="single"/>
        </w:rPr>
        <w:t>Rubric for Field Experience Reflection</w:t>
      </w:r>
    </w:p>
    <w:p w14:paraId="3FED8BE6" w14:textId="77777777" w:rsidR="00715A79" w:rsidRDefault="00715A79" w:rsidP="00715A79">
      <w:pPr>
        <w:ind w:left="360"/>
        <w:rPr>
          <w:rFonts w:ascii="Garamond" w:hAnsi="Garamond"/>
          <w:bCs/>
          <w:sz w:val="22"/>
          <w:szCs w:val="22"/>
        </w:rPr>
      </w:pPr>
    </w:p>
    <w:p w14:paraId="171CD8B7" w14:textId="77777777" w:rsidR="00715A79" w:rsidRDefault="00715A79" w:rsidP="00715A79">
      <w:pPr>
        <w:ind w:left="360"/>
        <w:rPr>
          <w:rFonts w:ascii="Garamond" w:hAnsi="Garamond"/>
          <w:bCs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32"/>
        <w:gridCol w:w="3467"/>
        <w:gridCol w:w="3478"/>
        <w:gridCol w:w="3525"/>
        <w:gridCol w:w="974"/>
      </w:tblGrid>
      <w:tr w:rsidR="00B8572E" w:rsidRPr="005F4966" w14:paraId="0631A70B" w14:textId="77777777" w:rsidTr="00654C90">
        <w:trPr>
          <w:trHeight w:val="151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8B29602" w14:textId="77777777" w:rsidR="00B8572E" w:rsidRPr="005F4966" w:rsidRDefault="00B8572E" w:rsidP="004C7CC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 w:rsidRPr="005F4966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ELLC Standards </w:t>
            </w:r>
          </w:p>
        </w:tc>
      </w:tr>
      <w:tr w:rsidR="004C7CC0" w:rsidRPr="005F4966" w14:paraId="2D90761D" w14:textId="77777777" w:rsidTr="00654C90">
        <w:trPr>
          <w:trHeight w:val="151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39E1FC15" w14:textId="77777777" w:rsidR="004C7CC0" w:rsidRPr="005F4966" w:rsidRDefault="002C0CC6" w:rsidP="004C7CC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Standard 4</w:t>
            </w:r>
            <w:r w:rsidRPr="005C198F">
              <w:rPr>
                <w:b/>
                <w:bCs/>
              </w:rPr>
              <w:t xml:space="preserve">.0: Candidates who complete the program are educational leaders who have the knowledge and ability to promote the success of all students by </w:t>
            </w:r>
            <w:r>
              <w:rPr>
                <w:b/>
                <w:bCs/>
              </w:rPr>
              <w:t>collaborating with families and other community members, responding to diverse community interests and needs, and mobilizing community resources.</w:t>
            </w:r>
          </w:p>
        </w:tc>
      </w:tr>
      <w:tr w:rsidR="009578BF" w:rsidRPr="005F4966" w14:paraId="778CBDE1" w14:textId="77777777" w:rsidTr="00654C90">
        <w:trPr>
          <w:trHeight w:val="1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A101120" w14:textId="77777777" w:rsidR="004C7CC0" w:rsidRPr="005F4966" w:rsidRDefault="004C7CC0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STANDARD ELEMENT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756DC340" w14:textId="77777777" w:rsidR="004C7CC0" w:rsidRPr="005F4966" w:rsidRDefault="004C7CC0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EXPECTATIONS UNMET (0)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EE86B29" w14:textId="77777777" w:rsidR="004C7CC0" w:rsidRPr="005F4966" w:rsidRDefault="004C7CC0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 xml:space="preserve">EXPECTATIONS MINIMALLY MET </w:t>
            </w:r>
          </w:p>
          <w:p w14:paraId="0563AF95" w14:textId="77777777" w:rsidR="004C7CC0" w:rsidRPr="005F4966" w:rsidRDefault="004C7CC0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(1-3)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C5396A2" w14:textId="77777777" w:rsidR="004C7CC0" w:rsidRPr="005F4966" w:rsidRDefault="004C7CC0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MEETS EXPECTATIONS</w:t>
            </w:r>
          </w:p>
          <w:p w14:paraId="0DC6A4D7" w14:textId="77777777" w:rsidR="004C7CC0" w:rsidRPr="005F4966" w:rsidRDefault="004C7CC0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(4-5)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8AE735F" w14:textId="77777777" w:rsidR="004C7CC0" w:rsidRPr="005F4966" w:rsidRDefault="004C7CC0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SCORE</w:t>
            </w:r>
          </w:p>
        </w:tc>
      </w:tr>
      <w:tr w:rsidR="009578BF" w:rsidRPr="005F4966" w14:paraId="1974BBA4" w14:textId="77777777" w:rsidTr="00654C90">
        <w:trPr>
          <w:trHeight w:val="3725"/>
        </w:trPr>
        <w:tc>
          <w:tcPr>
            <w:tcW w:w="0" w:type="auto"/>
            <w:tcBorders>
              <w:bottom w:val="single" w:sz="4" w:space="0" w:color="auto"/>
            </w:tcBorders>
          </w:tcPr>
          <w:p w14:paraId="6D5D4DAE" w14:textId="77777777" w:rsidR="004C7CC0" w:rsidRPr="005F4966" w:rsidRDefault="002C0CC6" w:rsidP="002C0CC6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4.1 </w:t>
            </w:r>
            <w:r w:rsidRPr="0023595A">
              <w:rPr>
                <w:rFonts w:ascii="TimesNewRoman,Bold" w:hAnsi="TimesNewRoman,Bold" w:cs="TimesNewRoman,Bold"/>
                <w:b/>
                <w:bCs/>
              </w:rPr>
              <w:t>Collaborate with Families and Other Community Members</w:t>
            </w:r>
          </w:p>
          <w:p w14:paraId="2F7A109C" w14:textId="77777777" w:rsidR="00654C90" w:rsidRPr="005F4966" w:rsidRDefault="00654C90" w:rsidP="00654C9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DC0902" w14:textId="77777777" w:rsidR="002C0CC6" w:rsidRPr="002C0CC6" w:rsidRDefault="002C0CC6" w:rsidP="002C0CC6">
            <w:r w:rsidRPr="002C0CC6">
              <w:t>Demonstrate</w:t>
            </w:r>
            <w:r>
              <w:t xml:space="preserve">s little </w:t>
            </w:r>
            <w:r w:rsidRPr="002C0CC6">
              <w:t>ability to bring together the resources of family members and the community to positively affect student learning.</w:t>
            </w:r>
          </w:p>
          <w:p w14:paraId="2C5297DA" w14:textId="77777777" w:rsidR="002C0CC6" w:rsidRDefault="002C0CC6" w:rsidP="002C0CC6"/>
          <w:p w14:paraId="77983F10" w14:textId="77777777" w:rsidR="002C0CC6" w:rsidRPr="002C0CC6" w:rsidRDefault="002C0CC6" w:rsidP="002C0CC6">
            <w:r>
              <w:t xml:space="preserve">Demonstrates </w:t>
            </w:r>
            <w:r w:rsidR="007F7074">
              <w:t xml:space="preserve">little </w:t>
            </w:r>
            <w:r w:rsidRPr="002C0CC6">
              <w:t>ability to use public information and research-based knowledge of issues and trends to collaborate with families and community members.</w:t>
            </w:r>
          </w:p>
          <w:p w14:paraId="26B843D9" w14:textId="77777777" w:rsidR="002C0CC6" w:rsidRDefault="002C0CC6" w:rsidP="002C0CC6"/>
          <w:p w14:paraId="060F9934" w14:textId="77777777" w:rsidR="002C0CC6" w:rsidRPr="002C0CC6" w:rsidRDefault="002C0CC6" w:rsidP="002C0CC6">
            <w:r>
              <w:t>Demonstrates</w:t>
            </w:r>
            <w:r w:rsidR="007F7074">
              <w:t xml:space="preserve"> little </w:t>
            </w:r>
            <w:r w:rsidRPr="002C0CC6">
              <w:t xml:space="preserve">understanding of </w:t>
            </w:r>
            <w:r>
              <w:t xml:space="preserve">how to apply </w:t>
            </w:r>
            <w:r w:rsidRPr="002C0CC6">
              <w:t xml:space="preserve">community relations models, marketing strategies and processes, data-based decision-making, and communications theory to create frameworks for school, family, business, community, </w:t>
            </w:r>
            <w:r w:rsidRPr="002C0CC6">
              <w:lastRenderedPageBreak/>
              <w:t>government, and higher education partnerships.</w:t>
            </w:r>
          </w:p>
          <w:p w14:paraId="1F750A4D" w14:textId="77777777" w:rsidR="002C0CC6" w:rsidRDefault="002C0CC6" w:rsidP="002C0CC6"/>
          <w:p w14:paraId="6818FE77" w14:textId="77777777" w:rsidR="002C0CC6" w:rsidRPr="009578BF" w:rsidRDefault="007F7074" w:rsidP="00654C90">
            <w:r>
              <w:t>Demonstrates little understanding of how to d</w:t>
            </w:r>
            <w:r w:rsidR="002C0CC6" w:rsidRPr="002C0CC6">
              <w:t>evelop</w:t>
            </w:r>
            <w:r>
              <w:t xml:space="preserve"> </w:t>
            </w:r>
            <w:r w:rsidR="002C0CC6" w:rsidRPr="002C0CC6">
              <w:t>methods of outreach aimed at business, religious, political, and service organization</w:t>
            </w:r>
            <w:r w:rsidR="009578BF">
              <w:t xml:space="preserve">.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E71AE9" w14:textId="77777777" w:rsidR="002C0CC6" w:rsidRPr="002C0CC6" w:rsidRDefault="002C0CC6" w:rsidP="002C0CC6">
            <w:r w:rsidRPr="002C0CC6">
              <w:lastRenderedPageBreak/>
              <w:t>Demonstrate</w:t>
            </w:r>
            <w:r>
              <w:t>s some</w:t>
            </w:r>
            <w:r w:rsidRPr="002C0CC6">
              <w:t xml:space="preserve"> ability to bring together the resources of family members and the community to positively affect student learning.</w:t>
            </w:r>
          </w:p>
          <w:p w14:paraId="3A0023E7" w14:textId="77777777" w:rsidR="002C0CC6" w:rsidRDefault="002C0CC6" w:rsidP="002C0CC6"/>
          <w:p w14:paraId="326E24CB" w14:textId="77777777" w:rsidR="002C0CC6" w:rsidRPr="002C0CC6" w:rsidRDefault="002C0CC6" w:rsidP="002C0CC6">
            <w:r>
              <w:t xml:space="preserve">Demonstrates </w:t>
            </w:r>
            <w:r w:rsidR="007F7074">
              <w:t>some</w:t>
            </w:r>
            <w:r w:rsidRPr="002C0CC6">
              <w:t xml:space="preserve"> ability to use public information and research-based knowledge of issues and trends to collaborate with families and community members.</w:t>
            </w:r>
          </w:p>
          <w:p w14:paraId="46864B59" w14:textId="77777777" w:rsidR="002C0CC6" w:rsidRDefault="002C0CC6" w:rsidP="002C0CC6"/>
          <w:p w14:paraId="290579BD" w14:textId="77777777" w:rsidR="002C0CC6" w:rsidRPr="002C0CC6" w:rsidRDefault="002C0CC6" w:rsidP="002C0CC6">
            <w:r>
              <w:t>Demonstrates</w:t>
            </w:r>
            <w:r w:rsidR="007F7074">
              <w:t xml:space="preserve"> some  </w:t>
            </w:r>
            <w:r w:rsidRPr="002C0CC6">
              <w:t xml:space="preserve"> understanding of </w:t>
            </w:r>
            <w:r>
              <w:t xml:space="preserve">how to apply </w:t>
            </w:r>
            <w:r w:rsidRPr="002C0CC6">
              <w:t xml:space="preserve">community relations models, marketing strategies and processes, data-based decision-making, and communications theory to create frameworks for school, family, business, </w:t>
            </w:r>
            <w:r w:rsidRPr="002C0CC6">
              <w:lastRenderedPageBreak/>
              <w:t>community, government, and higher education partnerships.</w:t>
            </w:r>
          </w:p>
          <w:p w14:paraId="521C0A6C" w14:textId="77777777" w:rsidR="002C0CC6" w:rsidRDefault="002C0CC6" w:rsidP="002C0CC6"/>
          <w:p w14:paraId="18C8A502" w14:textId="77777777" w:rsidR="002C0CC6" w:rsidRPr="002C0CC6" w:rsidRDefault="007F7074" w:rsidP="002C0CC6">
            <w:r>
              <w:t>Demonstrates some understanding of how to d</w:t>
            </w:r>
            <w:r w:rsidRPr="002C0CC6">
              <w:t>evelop</w:t>
            </w:r>
            <w:r>
              <w:t xml:space="preserve"> </w:t>
            </w:r>
            <w:r w:rsidR="002C0CC6" w:rsidRPr="002C0CC6">
              <w:t>various methods of outreach aimed at business, religious, political, and service organizations.</w:t>
            </w:r>
          </w:p>
          <w:p w14:paraId="646EF40C" w14:textId="77777777" w:rsidR="004C7CC0" w:rsidRPr="005F4966" w:rsidRDefault="004C7CC0" w:rsidP="00B8572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9564A7" w14:textId="77777777" w:rsidR="002C0CC6" w:rsidRPr="002C0CC6" w:rsidRDefault="002C0CC6" w:rsidP="002C0CC6">
            <w:r w:rsidRPr="002C0CC6">
              <w:lastRenderedPageBreak/>
              <w:t>Demonstrate</w:t>
            </w:r>
            <w:r>
              <w:t xml:space="preserve">s a great deal of </w:t>
            </w:r>
            <w:r w:rsidRPr="002C0CC6">
              <w:t>ability to bring together the resources of family members and the community to positively affect student learning.</w:t>
            </w:r>
          </w:p>
          <w:p w14:paraId="71430A8B" w14:textId="77777777" w:rsidR="002C0CC6" w:rsidRDefault="002C0CC6" w:rsidP="002C0CC6"/>
          <w:p w14:paraId="33F87952" w14:textId="77777777" w:rsidR="002C0CC6" w:rsidRPr="002C0CC6" w:rsidRDefault="002C0CC6" w:rsidP="002C0CC6">
            <w:r>
              <w:t xml:space="preserve">Demonstrates </w:t>
            </w:r>
            <w:r w:rsidR="007F7074">
              <w:t>a great deal of</w:t>
            </w:r>
            <w:r w:rsidRPr="002C0CC6">
              <w:t xml:space="preserve"> ability to use public information and research-based knowledge of issues and trends to collaborate with families and community members.</w:t>
            </w:r>
          </w:p>
          <w:p w14:paraId="5E531E52" w14:textId="77777777" w:rsidR="002C0CC6" w:rsidRDefault="002C0CC6" w:rsidP="002C0CC6"/>
          <w:p w14:paraId="35BF2055" w14:textId="77777777" w:rsidR="002C0CC6" w:rsidRPr="002C0CC6" w:rsidRDefault="002C0CC6" w:rsidP="002C0CC6">
            <w:r>
              <w:t>Demonstrates</w:t>
            </w:r>
            <w:r w:rsidRPr="002C0CC6">
              <w:t xml:space="preserve"> </w:t>
            </w:r>
            <w:r w:rsidR="007F7074">
              <w:t xml:space="preserve">a great deal </w:t>
            </w:r>
            <w:proofErr w:type="gramStart"/>
            <w:r w:rsidR="007F7074">
              <w:t xml:space="preserve">of </w:t>
            </w:r>
            <w:r w:rsidRPr="002C0CC6">
              <w:t xml:space="preserve"> understanding</w:t>
            </w:r>
            <w:proofErr w:type="gramEnd"/>
            <w:r w:rsidRPr="002C0CC6">
              <w:t xml:space="preserve"> of </w:t>
            </w:r>
            <w:r>
              <w:t xml:space="preserve">how to apply </w:t>
            </w:r>
            <w:r w:rsidRPr="002C0CC6">
              <w:t xml:space="preserve">community relations models, marketing strategies and processes, data-based decision-making, and communications theory to create frameworks for school, family, business, </w:t>
            </w:r>
            <w:r w:rsidRPr="002C0CC6">
              <w:lastRenderedPageBreak/>
              <w:t>community, government, and higher education partnerships.</w:t>
            </w:r>
          </w:p>
          <w:p w14:paraId="00482FFB" w14:textId="77777777" w:rsidR="002C0CC6" w:rsidRDefault="002C0CC6" w:rsidP="002C0CC6"/>
          <w:p w14:paraId="6C654E27" w14:textId="77777777" w:rsidR="002C0CC6" w:rsidRPr="002C0CC6" w:rsidRDefault="007F7074" w:rsidP="002C0CC6">
            <w:r>
              <w:t>Demonstrates a great deal of understanding of how to d</w:t>
            </w:r>
            <w:r w:rsidRPr="002C0CC6">
              <w:t>evelop</w:t>
            </w:r>
            <w:r>
              <w:t xml:space="preserve"> </w:t>
            </w:r>
            <w:r w:rsidR="002C0CC6" w:rsidRPr="002C0CC6">
              <w:t>various methods of outreach aimed at business, religious, political, and service organizations.</w:t>
            </w:r>
          </w:p>
          <w:p w14:paraId="05742130" w14:textId="77777777" w:rsidR="004C7CC0" w:rsidRPr="005F4966" w:rsidRDefault="004C7CC0" w:rsidP="00654C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29E968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09EC12C0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40980CAB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242AC973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187F05A4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5C081548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3D25478B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5A3677E9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76A30C5E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681E7379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7340D693" w14:textId="77777777" w:rsidR="004C7CC0" w:rsidRPr="005F4966" w:rsidRDefault="004C7CC0" w:rsidP="00A663E2">
            <w:pPr>
              <w:rPr>
                <w:b/>
                <w:sz w:val="22"/>
                <w:szCs w:val="22"/>
              </w:rPr>
            </w:pPr>
          </w:p>
        </w:tc>
      </w:tr>
      <w:tr w:rsidR="009578BF" w:rsidRPr="005F4966" w14:paraId="7B930518" w14:textId="77777777" w:rsidTr="00654C90">
        <w:trPr>
          <w:trHeight w:val="151"/>
        </w:trPr>
        <w:tc>
          <w:tcPr>
            <w:tcW w:w="0" w:type="auto"/>
          </w:tcPr>
          <w:p w14:paraId="2E4F4E55" w14:textId="77777777" w:rsidR="004C7CC0" w:rsidRPr="009578BF" w:rsidRDefault="009578BF" w:rsidP="00A73A0B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gramStart"/>
            <w:r>
              <w:rPr>
                <w:rFonts w:ascii="TimesNewRoman,Bold" w:hAnsi="TimesNewRoman,Bold" w:cs="TimesNewRoman,Bold"/>
                <w:b/>
                <w:bCs/>
              </w:rPr>
              <w:lastRenderedPageBreak/>
              <w:t xml:space="preserve">4.2  </w:t>
            </w:r>
            <w:r w:rsidRPr="00FE5B2A">
              <w:rPr>
                <w:rFonts w:ascii="TimesNewRoman,Bold" w:hAnsi="TimesNewRoman,Bold" w:cs="TimesNewRoman,Bold"/>
                <w:b/>
                <w:bCs/>
              </w:rPr>
              <w:t>Respond</w:t>
            </w:r>
            <w:proofErr w:type="gramEnd"/>
            <w:r w:rsidRPr="00FE5B2A">
              <w:rPr>
                <w:rFonts w:ascii="TimesNewRoman,Bold" w:hAnsi="TimesNewRoman,Bold" w:cs="TimesNewRoman,Bold"/>
                <w:b/>
                <w:bCs/>
              </w:rPr>
              <w:t xml:space="preserve"> to Community Interests and Needs</w:t>
            </w:r>
          </w:p>
        </w:tc>
        <w:tc>
          <w:tcPr>
            <w:tcW w:w="0" w:type="auto"/>
          </w:tcPr>
          <w:p w14:paraId="337CDEDB" w14:textId="77777777" w:rsidR="009578BF" w:rsidRPr="009578BF" w:rsidRDefault="009578BF" w:rsidP="009578BF">
            <w:r w:rsidRPr="009578BF">
              <w:t>Demonstrates</w:t>
            </w:r>
            <w:r>
              <w:t xml:space="preserve"> little</w:t>
            </w:r>
            <w:r w:rsidRPr="009578BF">
              <w:t xml:space="preserve"> involvement within the community, including interactions with individuals and groups with conflicting perspectives.</w:t>
            </w:r>
          </w:p>
          <w:p w14:paraId="587E5871" w14:textId="77777777" w:rsidR="009578BF" w:rsidRPr="009578BF" w:rsidRDefault="009578BF" w:rsidP="009578BF"/>
          <w:p w14:paraId="0213BB93" w14:textId="77777777" w:rsidR="004C7CC0" w:rsidRPr="005F4966" w:rsidRDefault="004C7CC0" w:rsidP="00A73A0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A0FA5AF" w14:textId="77777777" w:rsidR="009578BF" w:rsidRPr="009578BF" w:rsidRDefault="009578BF" w:rsidP="009578BF">
            <w:r w:rsidRPr="009578BF">
              <w:t>Demonstrates</w:t>
            </w:r>
            <w:r>
              <w:t xml:space="preserve"> some</w:t>
            </w:r>
            <w:r w:rsidRPr="009578BF">
              <w:t xml:space="preserve"> involvement within the community, including interactions with individuals and groups with conflicting perspectives.</w:t>
            </w:r>
          </w:p>
          <w:p w14:paraId="5553F5A7" w14:textId="77777777" w:rsidR="009578BF" w:rsidRPr="009578BF" w:rsidRDefault="009578BF" w:rsidP="009578BF"/>
          <w:p w14:paraId="1103F8AA" w14:textId="77777777" w:rsidR="004C7CC0" w:rsidRPr="005F4966" w:rsidRDefault="004C7CC0" w:rsidP="005F496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06741EF" w14:textId="77777777" w:rsidR="009578BF" w:rsidRPr="009578BF" w:rsidRDefault="009578BF" w:rsidP="009578BF">
            <w:r w:rsidRPr="009578BF">
              <w:t>Demonstrates active involvement within the community, including interactions with individuals and groups with conflicting perspectives.</w:t>
            </w:r>
          </w:p>
          <w:p w14:paraId="74596628" w14:textId="77777777" w:rsidR="009578BF" w:rsidRPr="009578BF" w:rsidRDefault="009578BF" w:rsidP="009578BF"/>
          <w:p w14:paraId="24B101CC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9EACED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235CD452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3B4A078F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2210D484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7AB57E14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1FB2B2F7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  <w:p w14:paraId="25885E36" w14:textId="77777777" w:rsidR="004C7CC0" w:rsidRPr="005F4966" w:rsidRDefault="004C7CC0" w:rsidP="00A663E2">
            <w:pPr>
              <w:rPr>
                <w:sz w:val="22"/>
                <w:szCs w:val="22"/>
              </w:rPr>
            </w:pPr>
          </w:p>
        </w:tc>
      </w:tr>
      <w:tr w:rsidR="009578BF" w:rsidRPr="005F4966" w14:paraId="526E57A0" w14:textId="77777777" w:rsidTr="00654C90">
        <w:trPr>
          <w:trHeight w:val="151"/>
        </w:trPr>
        <w:tc>
          <w:tcPr>
            <w:tcW w:w="0" w:type="auto"/>
          </w:tcPr>
          <w:p w14:paraId="523774DC" w14:textId="77777777" w:rsidR="009578BF" w:rsidRDefault="009578BF" w:rsidP="009578B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proofErr w:type="gramStart"/>
            <w:r>
              <w:rPr>
                <w:rFonts w:ascii="TimesNewRoman,Bold" w:hAnsi="TimesNewRoman,Bold" w:cs="TimesNewRoman,Bold"/>
                <w:b/>
                <w:bCs/>
              </w:rPr>
              <w:t>4.3  Mobilize</w:t>
            </w:r>
            <w:proofErr w:type="gramEnd"/>
            <w:r>
              <w:rPr>
                <w:rFonts w:ascii="TimesNewRoman,Bold" w:hAnsi="TimesNewRoman,Bold" w:cs="TimesNewRoman,Bold"/>
                <w:b/>
                <w:bCs/>
              </w:rPr>
              <w:t xml:space="preserve"> Community Resources</w:t>
            </w:r>
          </w:p>
          <w:p w14:paraId="348B019A" w14:textId="77777777" w:rsidR="009578BF" w:rsidRDefault="009578BF" w:rsidP="009578B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  <w:p w14:paraId="53C93714" w14:textId="77777777" w:rsidR="009578BF" w:rsidRDefault="009578BF" w:rsidP="00A73A0B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</w:p>
        </w:tc>
        <w:tc>
          <w:tcPr>
            <w:tcW w:w="0" w:type="auto"/>
          </w:tcPr>
          <w:p w14:paraId="6952D4B4" w14:textId="77777777" w:rsidR="009578BF" w:rsidRPr="009578BF" w:rsidRDefault="009578BF" w:rsidP="009578B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" w:hAnsi="TimesNewRoman" w:cs="TimesNewRoman"/>
              </w:rPr>
              <w:t>Demonstrates little understanding of and ability to use community resources, including</w:t>
            </w:r>
            <w:r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  <w:r>
              <w:rPr>
                <w:rFonts w:ascii="TimesNewRoman" w:hAnsi="TimesNewRoman" w:cs="TimesNewRoman"/>
              </w:rPr>
              <w:t>youth services, to support student achievement, solve school problems, and achieve school goals.</w:t>
            </w:r>
          </w:p>
          <w:p w14:paraId="29B6E073" w14:textId="77777777" w:rsidR="009578BF" w:rsidRDefault="009578BF" w:rsidP="009578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 </w:t>
            </w:r>
          </w:p>
          <w:p w14:paraId="67CD5432" w14:textId="77777777" w:rsidR="009578BF" w:rsidRPr="00237E53" w:rsidRDefault="009578BF" w:rsidP="009578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Demonstrates little understanding of ways to use </w:t>
            </w:r>
            <w:r>
              <w:rPr>
                <w:rFonts w:ascii="TimesNewRoman" w:hAnsi="TimesNewRoman" w:cs="TimesNewRoman"/>
              </w:rPr>
              <w:lastRenderedPageBreak/>
              <w:t>public resources and funds appropriately and effectively to encourage communities to provide new resources to address emerging student problems.</w:t>
            </w:r>
          </w:p>
          <w:p w14:paraId="4B23F9C0" w14:textId="77777777" w:rsidR="009578BF" w:rsidRDefault="009578BF" w:rsidP="009578BF">
            <w:pPr>
              <w:rPr>
                <w:b/>
                <w:smallCaps/>
                <w:u w:val="single"/>
              </w:rPr>
            </w:pPr>
          </w:p>
          <w:p w14:paraId="3E3110B1" w14:textId="77777777" w:rsidR="009578BF" w:rsidRPr="009578BF" w:rsidRDefault="009578BF" w:rsidP="009578BF"/>
        </w:tc>
        <w:tc>
          <w:tcPr>
            <w:tcW w:w="0" w:type="auto"/>
          </w:tcPr>
          <w:p w14:paraId="7B5A3D40" w14:textId="77777777" w:rsidR="009578BF" w:rsidRPr="009578BF" w:rsidRDefault="009578BF" w:rsidP="009578B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" w:hAnsi="TimesNewRoman" w:cs="TimesNewRoman"/>
              </w:rPr>
              <w:lastRenderedPageBreak/>
              <w:t>Demonstrates some understanding of and ability to use community resources, including</w:t>
            </w:r>
            <w:r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  <w:r>
              <w:rPr>
                <w:rFonts w:ascii="TimesNewRoman" w:hAnsi="TimesNewRoman" w:cs="TimesNewRoman"/>
              </w:rPr>
              <w:t>youth services, to support student achievement, solve school problems, and achieve school goals.</w:t>
            </w:r>
          </w:p>
          <w:p w14:paraId="4FECB01E" w14:textId="77777777" w:rsidR="009578BF" w:rsidRDefault="009578BF" w:rsidP="009578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 </w:t>
            </w:r>
          </w:p>
          <w:p w14:paraId="462D5015" w14:textId="77777777" w:rsidR="009578BF" w:rsidRPr="00237E53" w:rsidRDefault="009578BF" w:rsidP="009578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Demonstrates some understanding of ways to use </w:t>
            </w:r>
            <w:r>
              <w:rPr>
                <w:rFonts w:ascii="TimesNewRoman" w:hAnsi="TimesNewRoman" w:cs="TimesNewRoman"/>
              </w:rPr>
              <w:lastRenderedPageBreak/>
              <w:t>public resources and funds appropriately and effectively to encourage communities to provide new resources to address emerging student problems.</w:t>
            </w:r>
          </w:p>
          <w:p w14:paraId="5365FFA8" w14:textId="77777777" w:rsidR="009578BF" w:rsidRDefault="009578BF" w:rsidP="009578BF">
            <w:pPr>
              <w:rPr>
                <w:b/>
                <w:smallCaps/>
                <w:u w:val="single"/>
              </w:rPr>
            </w:pPr>
          </w:p>
          <w:p w14:paraId="0B0DBB8F" w14:textId="77777777" w:rsidR="009578BF" w:rsidRPr="009578BF" w:rsidRDefault="009578BF" w:rsidP="009578BF"/>
        </w:tc>
        <w:tc>
          <w:tcPr>
            <w:tcW w:w="0" w:type="auto"/>
          </w:tcPr>
          <w:p w14:paraId="28E1032A" w14:textId="77777777" w:rsidR="009578BF" w:rsidRPr="009578BF" w:rsidRDefault="009578BF" w:rsidP="009578B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" w:hAnsi="TimesNewRoman" w:cs="TimesNewRoman"/>
              </w:rPr>
              <w:lastRenderedPageBreak/>
              <w:t>Demonstrates a great deal of understanding of and ability to use community resources, including</w:t>
            </w:r>
            <w:r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  <w:r>
              <w:rPr>
                <w:rFonts w:ascii="TimesNewRoman" w:hAnsi="TimesNewRoman" w:cs="TimesNewRoman"/>
              </w:rPr>
              <w:t>youth services, to support student achievement, solve school problems, and achieve school goals.</w:t>
            </w:r>
          </w:p>
          <w:p w14:paraId="5B432E29" w14:textId="77777777" w:rsidR="009578BF" w:rsidRDefault="009578BF" w:rsidP="009578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 </w:t>
            </w:r>
          </w:p>
          <w:p w14:paraId="3B4EB4CF" w14:textId="77777777" w:rsidR="009578BF" w:rsidRPr="00237E53" w:rsidRDefault="009578BF" w:rsidP="009578B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Demonstrates a great deal of understanding of ways to use </w:t>
            </w:r>
            <w:r>
              <w:rPr>
                <w:rFonts w:ascii="TimesNewRoman" w:hAnsi="TimesNewRoman" w:cs="TimesNewRoman"/>
              </w:rPr>
              <w:lastRenderedPageBreak/>
              <w:t>public resources and funds appropriately and effectively to encourage communities to provide new resources to address emerging student problems.</w:t>
            </w:r>
          </w:p>
          <w:p w14:paraId="557B41D7" w14:textId="77777777" w:rsidR="009578BF" w:rsidRDefault="009578BF" w:rsidP="009578BF">
            <w:pPr>
              <w:rPr>
                <w:b/>
                <w:smallCaps/>
                <w:u w:val="single"/>
              </w:rPr>
            </w:pPr>
          </w:p>
          <w:p w14:paraId="7499AA5F" w14:textId="77777777" w:rsidR="009578BF" w:rsidRPr="009578BF" w:rsidRDefault="009578BF" w:rsidP="009578BF"/>
        </w:tc>
        <w:tc>
          <w:tcPr>
            <w:tcW w:w="0" w:type="auto"/>
          </w:tcPr>
          <w:p w14:paraId="4629F37A" w14:textId="77777777" w:rsidR="009578BF" w:rsidRPr="005F4966" w:rsidRDefault="009578BF" w:rsidP="00A663E2">
            <w:pPr>
              <w:rPr>
                <w:sz w:val="22"/>
                <w:szCs w:val="22"/>
              </w:rPr>
            </w:pPr>
          </w:p>
        </w:tc>
      </w:tr>
    </w:tbl>
    <w:p w14:paraId="6E2479D3" w14:textId="77777777" w:rsidR="009578BF" w:rsidRDefault="009578BF" w:rsidP="009578BF">
      <w:pPr>
        <w:rPr>
          <w:rFonts w:ascii="Garamond" w:hAnsi="Garamond"/>
          <w:bCs/>
          <w:sz w:val="22"/>
          <w:szCs w:val="22"/>
        </w:rPr>
      </w:pPr>
    </w:p>
    <w:p w14:paraId="086298A7" w14:textId="77777777" w:rsidR="009578BF" w:rsidRPr="00C72ED7" w:rsidRDefault="009578BF" w:rsidP="00715A79">
      <w:pPr>
        <w:ind w:left="360"/>
        <w:rPr>
          <w:rFonts w:ascii="Garamond" w:hAnsi="Garamond"/>
          <w:bCs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8"/>
        <w:gridCol w:w="2045"/>
        <w:gridCol w:w="2106"/>
        <w:gridCol w:w="2017"/>
        <w:gridCol w:w="974"/>
        <w:gridCol w:w="1536"/>
      </w:tblGrid>
      <w:tr w:rsidR="005F4966" w:rsidRPr="005F4966" w14:paraId="6678ADBE" w14:textId="77777777" w:rsidTr="005F4966">
        <w:trPr>
          <w:trHeight w:val="151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9870207" w14:textId="77777777" w:rsidR="005F4966" w:rsidRPr="005F4966" w:rsidRDefault="005F4966" w:rsidP="00A663E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Additional </w:t>
            </w:r>
            <w:proofErr w:type="gramStart"/>
            <w:r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Content </w:t>
            </w:r>
            <w:r w:rsidRPr="005F4966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 Standards</w:t>
            </w:r>
            <w:proofErr w:type="gramEnd"/>
            <w:r w:rsidRPr="005F4966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5B65ABB2" w14:textId="77777777" w:rsidR="005F4966" w:rsidRDefault="005F4966" w:rsidP="00A663E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</w:p>
        </w:tc>
      </w:tr>
      <w:tr w:rsidR="005F4966" w:rsidRPr="005F4966" w14:paraId="3526DE9B" w14:textId="77777777" w:rsidTr="005F4966">
        <w:trPr>
          <w:trHeight w:val="151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3EAE494F" w14:textId="77777777" w:rsidR="005F4966" w:rsidRDefault="005F4966" w:rsidP="0009780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 w:rsidRPr="005F4966"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Standard</w:t>
            </w:r>
            <w:r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t>s for Written Work</w:t>
            </w:r>
          </w:p>
          <w:p w14:paraId="3F3F3C22" w14:textId="77777777" w:rsidR="005F4966" w:rsidRPr="005F4966" w:rsidRDefault="005F4966" w:rsidP="005F4966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77F2B56C" w14:textId="77777777" w:rsidR="005F4966" w:rsidRPr="005F4966" w:rsidRDefault="005F4966" w:rsidP="005F4966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</w:p>
        </w:tc>
      </w:tr>
      <w:tr w:rsidR="009A538A" w:rsidRPr="005F4966" w14:paraId="1BB90804" w14:textId="77777777" w:rsidTr="005F4966">
        <w:trPr>
          <w:trHeight w:val="1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F36A937" w14:textId="77777777" w:rsidR="005F4966" w:rsidRPr="005F4966" w:rsidRDefault="005F4966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STANDARD ELEMENT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F0672B4" w14:textId="77777777" w:rsidR="005F4966" w:rsidRPr="005F4966" w:rsidRDefault="005F4966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EXPECTATIONS UNMET (0)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56B476C" w14:textId="77777777" w:rsidR="005F4966" w:rsidRPr="005F4966" w:rsidRDefault="005F4966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 xml:space="preserve">EXPECTATIONS MINIMALLY MET </w:t>
            </w:r>
          </w:p>
          <w:p w14:paraId="4F9FC084" w14:textId="77777777" w:rsidR="005F4966" w:rsidRPr="005F4966" w:rsidRDefault="005F4966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(1-3)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EA97054" w14:textId="77777777" w:rsidR="005F4966" w:rsidRPr="005F4966" w:rsidRDefault="005F4966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MEETS EXPECTATIONS</w:t>
            </w:r>
          </w:p>
          <w:p w14:paraId="05472155" w14:textId="77777777" w:rsidR="005F4966" w:rsidRPr="005F4966" w:rsidRDefault="005F4966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(4-5)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4D6730D" w14:textId="77777777" w:rsidR="005F4966" w:rsidRPr="005F4966" w:rsidRDefault="005F4966" w:rsidP="00A663E2">
            <w:pPr>
              <w:jc w:val="center"/>
              <w:rPr>
                <w:b/>
                <w:sz w:val="22"/>
                <w:szCs w:val="22"/>
              </w:rPr>
            </w:pPr>
            <w:r w:rsidRPr="005F4966">
              <w:rPr>
                <w:b/>
                <w:sz w:val="22"/>
                <w:szCs w:val="22"/>
              </w:rPr>
              <w:t>SCORE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20883E8" w14:textId="77777777" w:rsidR="005F4966" w:rsidRPr="005F4966" w:rsidRDefault="005F4966" w:rsidP="00A663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COMMENTS</w:t>
            </w:r>
          </w:p>
        </w:tc>
      </w:tr>
      <w:tr w:rsidR="009A538A" w:rsidRPr="005F4966" w14:paraId="124F5E66" w14:textId="77777777" w:rsidTr="009A538A">
        <w:trPr>
          <w:trHeight w:val="80"/>
        </w:trPr>
        <w:tc>
          <w:tcPr>
            <w:tcW w:w="0" w:type="auto"/>
            <w:tcBorders>
              <w:bottom w:val="single" w:sz="4" w:space="0" w:color="auto"/>
            </w:tcBorders>
          </w:tcPr>
          <w:p w14:paraId="247545CB" w14:textId="77777777" w:rsidR="005F4966" w:rsidRDefault="005F4966" w:rsidP="005F4966">
            <w:pPr>
              <w:rPr>
                <w:b/>
                <w:sz w:val="22"/>
                <w:szCs w:val="22"/>
              </w:rPr>
            </w:pPr>
            <w:r w:rsidRPr="009A538A">
              <w:rPr>
                <w:b/>
                <w:sz w:val="22"/>
                <w:szCs w:val="22"/>
              </w:rPr>
              <w:t xml:space="preserve">Content Development: </w:t>
            </w:r>
          </w:p>
          <w:p w14:paraId="42033A0A" w14:textId="77777777" w:rsidR="00F72E28" w:rsidRPr="009A538A" w:rsidRDefault="00F72E28" w:rsidP="005F4966">
            <w:pPr>
              <w:rPr>
                <w:b/>
                <w:sz w:val="22"/>
                <w:szCs w:val="22"/>
              </w:rPr>
            </w:pPr>
          </w:p>
          <w:p w14:paraId="10D65B71" w14:textId="77777777" w:rsidR="005F4966" w:rsidRPr="005F4966" w:rsidRDefault="005F4966" w:rsidP="005F496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5F4966">
              <w:rPr>
                <w:rFonts w:ascii="Garamond" w:hAnsi="Garamond"/>
              </w:rPr>
              <w:t>All key elements of the assignment are covered in a substantive way.</w:t>
            </w:r>
          </w:p>
          <w:p w14:paraId="0A7EAE4F" w14:textId="77777777" w:rsidR="005F4966" w:rsidRPr="005F4966" w:rsidRDefault="005F4966" w:rsidP="005F496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5F4966">
              <w:rPr>
                <w:rFonts w:ascii="Garamond" w:hAnsi="Garamond"/>
              </w:rPr>
              <w:t>Content is comprehensive, accurate, and/or persuasive.</w:t>
            </w:r>
          </w:p>
          <w:p w14:paraId="38F1BF47" w14:textId="77777777" w:rsidR="005F4966" w:rsidRPr="005F4966" w:rsidRDefault="005F4966" w:rsidP="005F496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5F4966">
              <w:rPr>
                <w:rFonts w:ascii="Garamond" w:hAnsi="Garamond"/>
              </w:rPr>
              <w:t>Major points are stated clearly, are supported by specific details, examples, or analysis.</w:t>
            </w:r>
          </w:p>
          <w:p w14:paraId="2D43D193" w14:textId="77777777" w:rsidR="005F4966" w:rsidRPr="005F4966" w:rsidRDefault="005F4966" w:rsidP="005F496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5F4966">
              <w:rPr>
                <w:rFonts w:ascii="Garamond" w:hAnsi="Garamond"/>
              </w:rPr>
              <w:t>Where appropriate, the paper supports major points with theory relevant to development of the ideas, and uses the vocabulary of the theory correctly.</w:t>
            </w:r>
          </w:p>
          <w:p w14:paraId="1DCBB285" w14:textId="77777777" w:rsidR="005F4966" w:rsidRPr="005F4966" w:rsidRDefault="005F4966" w:rsidP="005F496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5F4966">
              <w:rPr>
                <w:rFonts w:ascii="Garamond" w:hAnsi="Garamond"/>
              </w:rPr>
              <w:lastRenderedPageBreak/>
              <w:t xml:space="preserve">There is integration of theory and practice whereby the writer </w:t>
            </w:r>
            <w:proofErr w:type="gramStart"/>
            <w:r w:rsidRPr="005F4966">
              <w:rPr>
                <w:rFonts w:ascii="Garamond" w:hAnsi="Garamond"/>
              </w:rPr>
              <w:t>is able to</w:t>
            </w:r>
            <w:proofErr w:type="gramEnd"/>
            <w:r w:rsidRPr="005F4966">
              <w:rPr>
                <w:rFonts w:ascii="Garamond" w:hAnsi="Garamond"/>
              </w:rPr>
              <w:t xml:space="preserve"> link theories to practical experience (i.e., application to the </w:t>
            </w:r>
            <w:r w:rsidRPr="005F4966">
              <w:rPr>
                <w:rFonts w:ascii="Garamond" w:hAnsi="Garamond"/>
              </w:rPr>
              <w:br/>
              <w:t>“real world” work setting.)</w:t>
            </w:r>
          </w:p>
          <w:p w14:paraId="2A8C620C" w14:textId="77777777" w:rsidR="005F4966" w:rsidRPr="005F4966" w:rsidRDefault="005F4966" w:rsidP="005F496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5F4966">
              <w:rPr>
                <w:rFonts w:ascii="Garamond" w:hAnsi="Garamond"/>
              </w:rPr>
              <w:t>Research is adequate and timely for the topic.</w:t>
            </w:r>
          </w:p>
          <w:p w14:paraId="669A3602" w14:textId="77777777" w:rsidR="005F4966" w:rsidRPr="005F4966" w:rsidRDefault="005F4966" w:rsidP="005F4966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</w:rPr>
            </w:pPr>
            <w:r w:rsidRPr="005F4966">
              <w:rPr>
                <w:rFonts w:ascii="Garamond" w:hAnsi="Garamond"/>
              </w:rPr>
              <w:t>The context and purpose of the writing is clear (e.g., critique, research, sample memo, business plan, etc.)</w:t>
            </w:r>
          </w:p>
          <w:p w14:paraId="4516C7CA" w14:textId="77777777" w:rsidR="005F4966" w:rsidRPr="005F4966" w:rsidRDefault="005F4966" w:rsidP="005F4966">
            <w:pPr>
              <w:rPr>
                <w:sz w:val="22"/>
                <w:szCs w:val="22"/>
              </w:rPr>
            </w:pPr>
          </w:p>
          <w:p w14:paraId="15FB5ACA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D6B905" w14:textId="77777777" w:rsidR="005F4966" w:rsidRPr="005F4966" w:rsidRDefault="005F4966" w:rsidP="00A663E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  <w:p w14:paraId="5684D326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A54CF2" w14:textId="77777777" w:rsidR="005F4966" w:rsidRPr="005F4966" w:rsidRDefault="005F4966" w:rsidP="00A663E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85A839" w14:textId="77777777" w:rsidR="005F4966" w:rsidRPr="005F4966" w:rsidRDefault="005F4966" w:rsidP="00A663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93510C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289917FF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143A54ED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1CD8BFEC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42478093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4C1C57F3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7666E93B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650E621C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73D6B8BD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0F7A326F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  <w:p w14:paraId="5DED84E5" w14:textId="77777777" w:rsidR="005F4966" w:rsidRPr="005F4966" w:rsidRDefault="005F4966" w:rsidP="00A663E2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102459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</w:tc>
      </w:tr>
      <w:tr w:rsidR="009A538A" w:rsidRPr="005F4966" w14:paraId="22B167CA" w14:textId="77777777" w:rsidTr="005F4966">
        <w:trPr>
          <w:trHeight w:val="151"/>
        </w:trPr>
        <w:tc>
          <w:tcPr>
            <w:tcW w:w="0" w:type="auto"/>
          </w:tcPr>
          <w:p w14:paraId="09E53079" w14:textId="77777777" w:rsidR="005F4966" w:rsidRDefault="009A538A" w:rsidP="00A663E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lastRenderedPageBreak/>
              <w:t xml:space="preserve">Organization: </w:t>
            </w:r>
          </w:p>
          <w:p w14:paraId="38813506" w14:textId="77777777" w:rsidR="009A538A" w:rsidRPr="009A538A" w:rsidRDefault="009A538A" w:rsidP="009A538A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9A538A">
              <w:rPr>
                <w:rFonts w:ascii="Garamond" w:hAnsi="Garamond"/>
              </w:rPr>
              <w:t>The structure of the paper is clear and easy to follow.</w:t>
            </w:r>
          </w:p>
          <w:p w14:paraId="4FDC0151" w14:textId="77777777" w:rsidR="009A538A" w:rsidRPr="009A538A" w:rsidRDefault="009A538A" w:rsidP="009A538A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9A538A">
              <w:rPr>
                <w:rFonts w:ascii="Garamond" w:hAnsi="Garamond"/>
              </w:rPr>
              <w:t>The paper’s organization emphasizes the central theme or purpose and is directed toward appropriate audience.</w:t>
            </w:r>
          </w:p>
          <w:p w14:paraId="462B6DF9" w14:textId="77777777" w:rsidR="009A538A" w:rsidRPr="009A538A" w:rsidRDefault="009A538A" w:rsidP="009A538A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9A538A">
              <w:rPr>
                <w:rFonts w:ascii="Garamond" w:hAnsi="Garamond"/>
              </w:rPr>
              <w:t>Ideas flow in a logical sequence.</w:t>
            </w:r>
          </w:p>
          <w:p w14:paraId="0B26B25E" w14:textId="77777777" w:rsidR="009A538A" w:rsidRPr="009A538A" w:rsidRDefault="009A538A" w:rsidP="009A538A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9A538A">
              <w:rPr>
                <w:rFonts w:ascii="Garamond" w:hAnsi="Garamond"/>
              </w:rPr>
              <w:t>The introduction provides sufficient background on the topic and previews major points.</w:t>
            </w:r>
          </w:p>
          <w:p w14:paraId="66956982" w14:textId="77777777" w:rsidR="009A538A" w:rsidRPr="009A538A" w:rsidRDefault="009A538A" w:rsidP="009A538A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9A538A">
              <w:rPr>
                <w:rFonts w:ascii="Garamond" w:hAnsi="Garamond"/>
              </w:rPr>
              <w:t>Paragraph transitions are present and logical, and maintain the flow of thought throughout the paper.</w:t>
            </w:r>
          </w:p>
          <w:p w14:paraId="0CFD8442" w14:textId="77777777" w:rsidR="009A538A" w:rsidRPr="009A538A" w:rsidRDefault="009A538A" w:rsidP="009A538A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9A538A">
              <w:rPr>
                <w:rFonts w:ascii="Garamond" w:hAnsi="Garamond"/>
              </w:rPr>
              <w:t>The conclusion is logical and flows from the body of the paper.</w:t>
            </w:r>
          </w:p>
          <w:p w14:paraId="74C79E42" w14:textId="77777777" w:rsidR="009A538A" w:rsidRPr="009A538A" w:rsidRDefault="009A538A" w:rsidP="009A538A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</w:rPr>
            </w:pPr>
            <w:r w:rsidRPr="009A538A">
              <w:rPr>
                <w:rFonts w:ascii="Garamond" w:hAnsi="Garamond"/>
              </w:rPr>
              <w:t>The conclusion reviews the major points.</w:t>
            </w:r>
          </w:p>
          <w:p w14:paraId="290F325A" w14:textId="77777777" w:rsidR="009A538A" w:rsidRPr="007449D6" w:rsidRDefault="009A538A" w:rsidP="009A538A">
            <w:pPr>
              <w:rPr>
                <w:rFonts w:ascii="Garamond" w:hAnsi="Garamond"/>
                <w:b/>
              </w:rPr>
            </w:pPr>
          </w:p>
          <w:p w14:paraId="470B8195" w14:textId="77777777" w:rsidR="009A538A" w:rsidRPr="005F4966" w:rsidRDefault="009A538A" w:rsidP="00A663E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F7717A2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D267E9" w14:textId="77777777" w:rsidR="005F4966" w:rsidRPr="005F4966" w:rsidRDefault="005F4966" w:rsidP="00A663E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0E9291D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DB24B6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1C3887" w14:textId="77777777" w:rsidR="005F4966" w:rsidRPr="005F4966" w:rsidRDefault="005F4966" w:rsidP="00A663E2">
            <w:pPr>
              <w:rPr>
                <w:sz w:val="22"/>
                <w:szCs w:val="22"/>
              </w:rPr>
            </w:pPr>
          </w:p>
        </w:tc>
      </w:tr>
      <w:tr w:rsidR="009A538A" w:rsidRPr="005F4966" w14:paraId="4379F02C" w14:textId="77777777" w:rsidTr="005F4966">
        <w:trPr>
          <w:trHeight w:val="151"/>
        </w:trPr>
        <w:tc>
          <w:tcPr>
            <w:tcW w:w="0" w:type="auto"/>
          </w:tcPr>
          <w:p w14:paraId="0AE77492" w14:textId="77777777" w:rsidR="009A538A" w:rsidRDefault="009A538A" w:rsidP="009A538A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  <w:lastRenderedPageBreak/>
              <w:t xml:space="preserve">Format: </w:t>
            </w:r>
          </w:p>
          <w:p w14:paraId="6C6FC3C0" w14:textId="77777777" w:rsidR="009A538A" w:rsidRPr="00525A80" w:rsidRDefault="009A538A" w:rsidP="00525A8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  <w:r w:rsidRPr="00525A80">
              <w:rPr>
                <w:rFonts w:ascii="Garamond" w:hAnsi="Garamond"/>
              </w:rPr>
              <w:t xml:space="preserve">The paper, including citations and the reference page, follows APA guidelines for format. </w:t>
            </w:r>
          </w:p>
          <w:p w14:paraId="16B59E3B" w14:textId="77777777" w:rsidR="009A538A" w:rsidRPr="00525A80" w:rsidRDefault="009A538A" w:rsidP="00525A80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</w:rPr>
            </w:pPr>
            <w:r w:rsidRPr="00525A80">
              <w:rPr>
                <w:rFonts w:ascii="Garamond" w:hAnsi="Garamond"/>
              </w:rPr>
              <w:t>The paper is laid out effectively and uses reader-friendly aids (e.g., sections, summaries, tables of contents, indices, appendices, etc.) when appropriate.</w:t>
            </w:r>
          </w:p>
          <w:p w14:paraId="5083EC1D" w14:textId="77777777" w:rsidR="009A538A" w:rsidRPr="00525A80" w:rsidRDefault="009A538A" w:rsidP="00525A80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</w:rPr>
            </w:pPr>
            <w:r w:rsidRPr="00525A80">
              <w:rPr>
                <w:rFonts w:ascii="Garamond" w:hAnsi="Garamond"/>
              </w:rPr>
              <w:t>The paper utilizes references appropriately.</w:t>
            </w:r>
          </w:p>
          <w:p w14:paraId="7005F497" w14:textId="77777777" w:rsidR="009A538A" w:rsidRPr="00525A80" w:rsidRDefault="009A538A" w:rsidP="00525A80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</w:rPr>
            </w:pPr>
            <w:r w:rsidRPr="00525A80">
              <w:rPr>
                <w:rFonts w:ascii="Garamond" w:hAnsi="Garamond"/>
              </w:rPr>
              <w:t>Headings, the use of italics, etc., aid in the readability of the paper and are not “overdone.”</w:t>
            </w:r>
          </w:p>
          <w:p w14:paraId="2F853FD0" w14:textId="77777777" w:rsidR="009A538A" w:rsidRPr="00525A80" w:rsidRDefault="009A538A" w:rsidP="00525A80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</w:rPr>
            </w:pPr>
            <w:r w:rsidRPr="00525A80">
              <w:rPr>
                <w:rFonts w:ascii="Garamond" w:hAnsi="Garamond"/>
              </w:rPr>
              <w:t>The paper is neat, with attention given to format requirements.</w:t>
            </w:r>
          </w:p>
          <w:p w14:paraId="25EDEB40" w14:textId="77777777" w:rsidR="009A538A" w:rsidRDefault="009A538A" w:rsidP="00A663E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366C42D" w14:textId="77777777" w:rsidR="009A538A" w:rsidRPr="005F4966" w:rsidRDefault="009A538A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80C898" w14:textId="77777777" w:rsidR="009A538A" w:rsidRPr="005F4966" w:rsidRDefault="009A538A" w:rsidP="00A663E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4F9C2551" w14:textId="77777777" w:rsidR="009A538A" w:rsidRPr="005F4966" w:rsidRDefault="009A538A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5073CF" w14:textId="77777777" w:rsidR="009A538A" w:rsidRPr="005F4966" w:rsidRDefault="009A538A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D77AECF" w14:textId="77777777" w:rsidR="009A538A" w:rsidRPr="005F4966" w:rsidRDefault="009A538A" w:rsidP="00A663E2">
            <w:pPr>
              <w:rPr>
                <w:sz w:val="22"/>
                <w:szCs w:val="22"/>
              </w:rPr>
            </w:pPr>
          </w:p>
        </w:tc>
      </w:tr>
      <w:tr w:rsidR="00525A80" w:rsidRPr="005F4966" w14:paraId="7B3D491C" w14:textId="77777777" w:rsidTr="005F4966">
        <w:trPr>
          <w:trHeight w:val="151"/>
        </w:trPr>
        <w:tc>
          <w:tcPr>
            <w:tcW w:w="0" w:type="auto"/>
          </w:tcPr>
          <w:p w14:paraId="37FFB1EF" w14:textId="77777777" w:rsidR="00525A80" w:rsidRPr="007449D6" w:rsidRDefault="00525A80" w:rsidP="00525A80">
            <w:pPr>
              <w:rPr>
                <w:rFonts w:ascii="Garamond" w:hAnsi="Garamond"/>
                <w:b/>
              </w:rPr>
            </w:pPr>
            <w:r w:rsidRPr="007449D6">
              <w:rPr>
                <w:rFonts w:ascii="Garamond" w:hAnsi="Garamond"/>
                <w:b/>
              </w:rPr>
              <w:t>Grammar/Punctuation/Spelling</w:t>
            </w:r>
            <w:r>
              <w:rPr>
                <w:rFonts w:ascii="Garamond" w:hAnsi="Garamond"/>
                <w:b/>
              </w:rPr>
              <w:t>:</w:t>
            </w:r>
          </w:p>
          <w:p w14:paraId="6759F184" w14:textId="77777777" w:rsidR="00525A80" w:rsidRDefault="00525A80" w:rsidP="00525A80">
            <w:pPr>
              <w:rPr>
                <w:rFonts w:ascii="Garamond" w:hAnsi="Garamond"/>
              </w:rPr>
            </w:pPr>
          </w:p>
          <w:p w14:paraId="0093510A" w14:textId="77777777" w:rsidR="00525A80" w:rsidRPr="00525A80" w:rsidRDefault="00525A80" w:rsidP="00525A80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</w:rPr>
            </w:pPr>
            <w:r w:rsidRPr="00525A80">
              <w:rPr>
                <w:rFonts w:ascii="Garamond" w:hAnsi="Garamond"/>
              </w:rPr>
              <w:t>Rules of grammar, usage, and punctuation apply and are followed.</w:t>
            </w:r>
          </w:p>
          <w:p w14:paraId="2E989851" w14:textId="77777777" w:rsidR="00525A80" w:rsidRPr="0009780A" w:rsidRDefault="00525A80" w:rsidP="0009780A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</w:rPr>
            </w:pPr>
            <w:r w:rsidRPr="00525A80">
              <w:rPr>
                <w:rFonts w:ascii="Garamond" w:hAnsi="Garamond"/>
              </w:rPr>
              <w:t>Spelling is correct.  (Use computer Tools - Spelling and Grammar Check, &amp; Thesaurus.)</w:t>
            </w:r>
          </w:p>
        </w:tc>
        <w:tc>
          <w:tcPr>
            <w:tcW w:w="0" w:type="auto"/>
          </w:tcPr>
          <w:p w14:paraId="2F18314C" w14:textId="77777777" w:rsidR="00525A80" w:rsidRPr="005F4966" w:rsidRDefault="00525A80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27F5BB" w14:textId="77777777" w:rsidR="00525A80" w:rsidRPr="005F4966" w:rsidRDefault="00525A80" w:rsidP="00A663E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6E0AE335" w14:textId="77777777" w:rsidR="00525A80" w:rsidRPr="005F4966" w:rsidRDefault="00525A80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BB495D" w14:textId="77777777" w:rsidR="00525A80" w:rsidRPr="005F4966" w:rsidRDefault="00525A80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FA37D8" w14:textId="77777777" w:rsidR="00525A80" w:rsidRPr="005F4966" w:rsidRDefault="00525A80" w:rsidP="00A663E2">
            <w:pPr>
              <w:rPr>
                <w:sz w:val="22"/>
                <w:szCs w:val="22"/>
              </w:rPr>
            </w:pPr>
          </w:p>
        </w:tc>
      </w:tr>
      <w:tr w:rsidR="00525A80" w:rsidRPr="005F4966" w14:paraId="5F435B0B" w14:textId="77777777" w:rsidTr="005F4966">
        <w:trPr>
          <w:trHeight w:val="151"/>
        </w:trPr>
        <w:tc>
          <w:tcPr>
            <w:tcW w:w="0" w:type="auto"/>
          </w:tcPr>
          <w:p w14:paraId="792AA9BC" w14:textId="77777777" w:rsidR="00525A80" w:rsidRPr="007449D6" w:rsidRDefault="00525A80" w:rsidP="00525A80">
            <w:pPr>
              <w:rPr>
                <w:rFonts w:ascii="Garamond" w:hAnsi="Garamond"/>
                <w:b/>
              </w:rPr>
            </w:pPr>
            <w:r w:rsidRPr="007449D6">
              <w:rPr>
                <w:rFonts w:ascii="Garamond" w:hAnsi="Garamond"/>
                <w:b/>
              </w:rPr>
              <w:t>Readability/Style</w:t>
            </w:r>
            <w:r>
              <w:rPr>
                <w:rFonts w:ascii="Garamond" w:hAnsi="Garamond"/>
                <w:b/>
              </w:rPr>
              <w:t>:</w:t>
            </w:r>
          </w:p>
          <w:p w14:paraId="74BE8728" w14:textId="77777777" w:rsidR="00525A80" w:rsidRPr="007449D6" w:rsidRDefault="00525A80" w:rsidP="00525A80">
            <w:pPr>
              <w:rPr>
                <w:rFonts w:ascii="Garamond" w:hAnsi="Garamond"/>
              </w:rPr>
            </w:pPr>
          </w:p>
          <w:p w14:paraId="4C53FF18" w14:textId="77777777" w:rsidR="00525A80" w:rsidRPr="00F72E28" w:rsidRDefault="00525A80" w:rsidP="00F72E2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72E28">
              <w:rPr>
                <w:rFonts w:ascii="Garamond" w:hAnsi="Garamond"/>
              </w:rPr>
              <w:t>Sentences are complete, clear, and concise.</w:t>
            </w:r>
          </w:p>
          <w:p w14:paraId="4D6E1568" w14:textId="77777777" w:rsidR="00525A80" w:rsidRPr="00F72E28" w:rsidRDefault="00525A80" w:rsidP="00F72E2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72E28">
              <w:rPr>
                <w:rFonts w:ascii="Garamond" w:hAnsi="Garamond"/>
              </w:rPr>
              <w:t>Sentences are well structured, with consistently strong, varied structure.</w:t>
            </w:r>
          </w:p>
          <w:p w14:paraId="133820E2" w14:textId="77777777" w:rsidR="00525A80" w:rsidRPr="00F72E28" w:rsidRDefault="00525A80" w:rsidP="00F72E2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72E28">
              <w:rPr>
                <w:rFonts w:ascii="Garamond" w:hAnsi="Garamond"/>
              </w:rPr>
              <w:t xml:space="preserve">Sentence transitions are present and </w:t>
            </w:r>
            <w:r w:rsidRPr="00F72E28">
              <w:rPr>
                <w:rFonts w:ascii="Garamond" w:hAnsi="Garamond"/>
              </w:rPr>
              <w:lastRenderedPageBreak/>
              <w:t>maintain the flow of thought.</w:t>
            </w:r>
          </w:p>
          <w:p w14:paraId="6B52395E" w14:textId="77777777" w:rsidR="00525A80" w:rsidRPr="00F72E28" w:rsidRDefault="00525A80" w:rsidP="00F72E2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72E28">
              <w:rPr>
                <w:rFonts w:ascii="Garamond" w:hAnsi="Garamond"/>
              </w:rPr>
              <w:t>Words used are precise and unambiguous.</w:t>
            </w:r>
          </w:p>
          <w:p w14:paraId="4C6FBEFD" w14:textId="77777777" w:rsidR="00525A80" w:rsidRPr="00F72E28" w:rsidRDefault="00525A80" w:rsidP="00F72E28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</w:rPr>
            </w:pPr>
            <w:r w:rsidRPr="00F72E28">
              <w:rPr>
                <w:rFonts w:ascii="Garamond" w:hAnsi="Garamond"/>
              </w:rPr>
              <w:t>The tone is appropriate to the content and assignment.</w:t>
            </w:r>
          </w:p>
          <w:p w14:paraId="75FEC2DA" w14:textId="77777777" w:rsidR="00525A80" w:rsidRPr="007449D6" w:rsidRDefault="00525A80" w:rsidP="00525A80">
            <w:pPr>
              <w:rPr>
                <w:rFonts w:ascii="Garamond" w:hAnsi="Garamond"/>
              </w:rPr>
            </w:pPr>
          </w:p>
          <w:p w14:paraId="49862852" w14:textId="77777777" w:rsidR="00525A80" w:rsidRPr="007449D6" w:rsidRDefault="00525A80" w:rsidP="00525A80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</w:tcPr>
          <w:p w14:paraId="3AC5A6D5" w14:textId="77777777" w:rsidR="00525A80" w:rsidRPr="005F4966" w:rsidRDefault="00525A80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9E1970" w14:textId="77777777" w:rsidR="00525A80" w:rsidRPr="005F4966" w:rsidRDefault="00525A80" w:rsidP="00A663E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0B42B249" w14:textId="77777777" w:rsidR="00525A80" w:rsidRPr="005F4966" w:rsidRDefault="00525A80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BE50C5" w14:textId="77777777" w:rsidR="00525A80" w:rsidRPr="005F4966" w:rsidRDefault="00525A80" w:rsidP="00A663E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2D5C86" w14:textId="77777777" w:rsidR="00525A80" w:rsidRPr="005F4966" w:rsidRDefault="00525A80" w:rsidP="00A663E2">
            <w:pPr>
              <w:rPr>
                <w:sz w:val="22"/>
                <w:szCs w:val="22"/>
              </w:rPr>
            </w:pPr>
          </w:p>
        </w:tc>
      </w:tr>
    </w:tbl>
    <w:p w14:paraId="36089115" w14:textId="77777777" w:rsidR="002579A7" w:rsidRDefault="002579A7" w:rsidP="00011315">
      <w:pPr>
        <w:rPr>
          <w:b/>
          <w:smallCaps/>
          <w:u w:val="single"/>
        </w:rPr>
      </w:pPr>
    </w:p>
    <w:p w14:paraId="01B2B58A" w14:textId="77777777" w:rsidR="002579A7" w:rsidRDefault="002579A7" w:rsidP="00011315">
      <w:pPr>
        <w:rPr>
          <w:b/>
          <w:smallCaps/>
          <w:u w:val="single"/>
        </w:rPr>
      </w:pPr>
    </w:p>
    <w:sectPr w:rsidR="002579A7" w:rsidSect="002F74F7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B7163" w14:textId="77777777" w:rsidR="00C76063" w:rsidRDefault="00C76063" w:rsidP="002579A7">
      <w:r>
        <w:separator/>
      </w:r>
    </w:p>
  </w:endnote>
  <w:endnote w:type="continuationSeparator" w:id="0">
    <w:p w14:paraId="496B0097" w14:textId="77777777" w:rsidR="00C76063" w:rsidRDefault="00C76063" w:rsidP="0025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NewRoman,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7B7C9" w14:textId="77777777" w:rsidR="00C76063" w:rsidRDefault="00C76063" w:rsidP="002579A7">
      <w:r>
        <w:separator/>
      </w:r>
    </w:p>
  </w:footnote>
  <w:footnote w:type="continuationSeparator" w:id="0">
    <w:p w14:paraId="07A040A6" w14:textId="77777777" w:rsidR="00C76063" w:rsidRDefault="00C76063" w:rsidP="002579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765440"/>
      <w:docPartObj>
        <w:docPartGallery w:val="Page Numbers (Top of Page)"/>
        <w:docPartUnique/>
      </w:docPartObj>
    </w:sdtPr>
    <w:sdtEndPr/>
    <w:sdtContent>
      <w:p w14:paraId="2ADCE753" w14:textId="77777777" w:rsidR="002C0CC6" w:rsidRDefault="002C0CC6">
        <w:pPr>
          <w:pStyle w:val="Header"/>
          <w:jc w:val="center"/>
        </w:pPr>
        <w:r>
          <w:t>[</w:t>
        </w:r>
        <w:r w:rsidR="00C76063">
          <w:fldChar w:fldCharType="begin"/>
        </w:r>
        <w:r w:rsidR="00C76063">
          <w:instrText xml:space="preserve"> PAGE   \* MERGEFORMAT </w:instrText>
        </w:r>
        <w:r w:rsidR="00C76063">
          <w:fldChar w:fldCharType="separate"/>
        </w:r>
        <w:r w:rsidR="00855B9E">
          <w:rPr>
            <w:noProof/>
          </w:rPr>
          <w:t>3</w:t>
        </w:r>
        <w:r w:rsidR="00C76063">
          <w:rPr>
            <w:noProof/>
          </w:rPr>
          <w:fldChar w:fldCharType="end"/>
        </w:r>
        <w:r>
          <w:t>]</w:t>
        </w:r>
      </w:p>
    </w:sdtContent>
  </w:sdt>
  <w:p w14:paraId="77A32674" w14:textId="77777777" w:rsidR="002C0CC6" w:rsidRDefault="002C0CC6">
    <w:pPr>
      <w:pStyle w:val="Header"/>
    </w:pPr>
  </w:p>
  <w:p w14:paraId="49071F09" w14:textId="77777777" w:rsidR="002C0CC6" w:rsidRDefault="002C0CC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C0F"/>
    <w:multiLevelType w:val="multilevel"/>
    <w:tmpl w:val="04DA7B2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0278634A"/>
    <w:multiLevelType w:val="hybridMultilevel"/>
    <w:tmpl w:val="FBFA5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E54"/>
    <w:multiLevelType w:val="hybridMultilevel"/>
    <w:tmpl w:val="B14AF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14D4D"/>
    <w:multiLevelType w:val="hybridMultilevel"/>
    <w:tmpl w:val="B660F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97A49"/>
    <w:multiLevelType w:val="hybridMultilevel"/>
    <w:tmpl w:val="191810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B09B0"/>
    <w:multiLevelType w:val="hybridMultilevel"/>
    <w:tmpl w:val="0B90E538"/>
    <w:lvl w:ilvl="0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6">
    <w:nsid w:val="09C04A9A"/>
    <w:multiLevelType w:val="hybridMultilevel"/>
    <w:tmpl w:val="58EA5DD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7D69A3"/>
    <w:multiLevelType w:val="hybridMultilevel"/>
    <w:tmpl w:val="D8B41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8067C"/>
    <w:multiLevelType w:val="hybridMultilevel"/>
    <w:tmpl w:val="F8BCFF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E406F"/>
    <w:multiLevelType w:val="hybridMultilevel"/>
    <w:tmpl w:val="5E78A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E0F20"/>
    <w:multiLevelType w:val="hybridMultilevel"/>
    <w:tmpl w:val="0126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94290"/>
    <w:multiLevelType w:val="hybridMultilevel"/>
    <w:tmpl w:val="2FBED8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76C52"/>
    <w:multiLevelType w:val="hybridMultilevel"/>
    <w:tmpl w:val="87FA2A1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E56CD4"/>
    <w:multiLevelType w:val="hybridMultilevel"/>
    <w:tmpl w:val="9FD2B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EF6594"/>
    <w:multiLevelType w:val="hybridMultilevel"/>
    <w:tmpl w:val="EF44C2F2"/>
    <w:lvl w:ilvl="0" w:tplc="3E28E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2744A9C"/>
    <w:multiLevelType w:val="multilevel"/>
    <w:tmpl w:val="04DA7B2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6">
    <w:nsid w:val="33AC1C41"/>
    <w:multiLevelType w:val="hybridMultilevel"/>
    <w:tmpl w:val="495A5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04AB0"/>
    <w:multiLevelType w:val="hybridMultilevel"/>
    <w:tmpl w:val="1304C6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3BBB3537"/>
    <w:multiLevelType w:val="hybridMultilevel"/>
    <w:tmpl w:val="8180B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F5B46"/>
    <w:multiLevelType w:val="hybridMultilevel"/>
    <w:tmpl w:val="BF76B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BA0E86"/>
    <w:multiLevelType w:val="hybridMultilevel"/>
    <w:tmpl w:val="A2029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70401"/>
    <w:multiLevelType w:val="hybridMultilevel"/>
    <w:tmpl w:val="889A0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A6BDF"/>
    <w:multiLevelType w:val="hybridMultilevel"/>
    <w:tmpl w:val="3F481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0"/>
  </w:num>
  <w:num w:numId="5">
    <w:abstractNumId w:val="7"/>
  </w:num>
  <w:num w:numId="6">
    <w:abstractNumId w:val="19"/>
  </w:num>
  <w:num w:numId="7">
    <w:abstractNumId w:val="22"/>
  </w:num>
  <w:num w:numId="8">
    <w:abstractNumId w:val="2"/>
  </w:num>
  <w:num w:numId="9">
    <w:abstractNumId w:val="4"/>
  </w:num>
  <w:num w:numId="10">
    <w:abstractNumId w:val="18"/>
  </w:num>
  <w:num w:numId="11">
    <w:abstractNumId w:val="3"/>
  </w:num>
  <w:num w:numId="12">
    <w:abstractNumId w:val="8"/>
  </w:num>
  <w:num w:numId="13">
    <w:abstractNumId w:val="21"/>
  </w:num>
  <w:num w:numId="14">
    <w:abstractNumId w:val="6"/>
  </w:num>
  <w:num w:numId="15">
    <w:abstractNumId w:val="1"/>
  </w:num>
  <w:num w:numId="16">
    <w:abstractNumId w:val="15"/>
  </w:num>
  <w:num w:numId="17">
    <w:abstractNumId w:val="11"/>
  </w:num>
  <w:num w:numId="18">
    <w:abstractNumId w:val="9"/>
  </w:num>
  <w:num w:numId="19">
    <w:abstractNumId w:val="16"/>
  </w:num>
  <w:num w:numId="20">
    <w:abstractNumId w:val="12"/>
  </w:num>
  <w:num w:numId="21">
    <w:abstractNumId w:val="17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72E"/>
    <w:rsid w:val="000004CA"/>
    <w:rsid w:val="00011315"/>
    <w:rsid w:val="000530E9"/>
    <w:rsid w:val="0009780A"/>
    <w:rsid w:val="000A20F2"/>
    <w:rsid w:val="00101FDC"/>
    <w:rsid w:val="0014135A"/>
    <w:rsid w:val="001517DD"/>
    <w:rsid w:val="001922B1"/>
    <w:rsid w:val="00201D01"/>
    <w:rsid w:val="0023595A"/>
    <w:rsid w:val="00237E53"/>
    <w:rsid w:val="002579A7"/>
    <w:rsid w:val="002B21B4"/>
    <w:rsid w:val="002C0CC6"/>
    <w:rsid w:val="002F74F7"/>
    <w:rsid w:val="0030172E"/>
    <w:rsid w:val="00341723"/>
    <w:rsid w:val="003647A9"/>
    <w:rsid w:val="00384F85"/>
    <w:rsid w:val="003C4747"/>
    <w:rsid w:val="003D41AC"/>
    <w:rsid w:val="003E1FA4"/>
    <w:rsid w:val="00447797"/>
    <w:rsid w:val="0045742D"/>
    <w:rsid w:val="004828FC"/>
    <w:rsid w:val="004B2FB9"/>
    <w:rsid w:val="004C7CC0"/>
    <w:rsid w:val="004E65F9"/>
    <w:rsid w:val="00525A80"/>
    <w:rsid w:val="005B2E85"/>
    <w:rsid w:val="005C66B7"/>
    <w:rsid w:val="005E761B"/>
    <w:rsid w:val="005F4966"/>
    <w:rsid w:val="00654C90"/>
    <w:rsid w:val="00715A79"/>
    <w:rsid w:val="00751C87"/>
    <w:rsid w:val="00780D9D"/>
    <w:rsid w:val="007C5303"/>
    <w:rsid w:val="007F7074"/>
    <w:rsid w:val="00821FB5"/>
    <w:rsid w:val="00855B9E"/>
    <w:rsid w:val="00910AFF"/>
    <w:rsid w:val="00943B4B"/>
    <w:rsid w:val="009578BF"/>
    <w:rsid w:val="009A538A"/>
    <w:rsid w:val="009F0AF7"/>
    <w:rsid w:val="00A663E2"/>
    <w:rsid w:val="00A73A0B"/>
    <w:rsid w:val="00A83574"/>
    <w:rsid w:val="00B5547B"/>
    <w:rsid w:val="00B7757F"/>
    <w:rsid w:val="00B8572E"/>
    <w:rsid w:val="00BD797F"/>
    <w:rsid w:val="00C46204"/>
    <w:rsid w:val="00C54BAA"/>
    <w:rsid w:val="00C65CFD"/>
    <w:rsid w:val="00C72ED7"/>
    <w:rsid w:val="00C76063"/>
    <w:rsid w:val="00C81DDA"/>
    <w:rsid w:val="00CD036F"/>
    <w:rsid w:val="00CD5BFD"/>
    <w:rsid w:val="00CD7822"/>
    <w:rsid w:val="00CE696A"/>
    <w:rsid w:val="00E8456D"/>
    <w:rsid w:val="00F36AE2"/>
    <w:rsid w:val="00F645FB"/>
    <w:rsid w:val="00F7056E"/>
    <w:rsid w:val="00F72E28"/>
    <w:rsid w:val="00F92027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3D8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017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7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57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9A7"/>
    <w:rPr>
      <w:sz w:val="24"/>
      <w:szCs w:val="24"/>
    </w:rPr>
  </w:style>
  <w:style w:type="paragraph" w:styleId="Footer">
    <w:name w:val="footer"/>
    <w:basedOn w:val="Normal"/>
    <w:link w:val="FooterChar"/>
    <w:rsid w:val="00257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9A7"/>
    <w:rPr>
      <w:sz w:val="24"/>
      <w:szCs w:val="24"/>
    </w:rPr>
  </w:style>
  <w:style w:type="paragraph" w:styleId="BodyText2">
    <w:name w:val="Body Text 2"/>
    <w:basedOn w:val="Normal"/>
    <w:link w:val="BodyText2Char"/>
    <w:rsid w:val="004C7CC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C7C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C6FA-90EB-6E4B-8B4A-2DB577F7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1011</Words>
  <Characters>5764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Supervision of Instruction</vt:lpstr>
    </vt:vector>
  </TitlesOfParts>
  <Company>PGCPS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of Instruction</dc:title>
  <dc:creator>Lisa Maria Grillo, Ed.D.</dc:creator>
  <cp:lastModifiedBy>Feda, Rawan A</cp:lastModifiedBy>
  <cp:revision>9</cp:revision>
  <dcterms:created xsi:type="dcterms:W3CDTF">2009-03-02T19:27:00Z</dcterms:created>
  <dcterms:modified xsi:type="dcterms:W3CDTF">2017-02-24T03:32:00Z</dcterms:modified>
</cp:coreProperties>
</file>