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B8824F" w14:textId="77777777" w:rsidR="00194CD8" w:rsidRDefault="00194CD8"/>
    <w:p w14:paraId="4A6BD88E" w14:textId="77777777" w:rsidR="00316629" w:rsidRPr="00FD6328" w:rsidRDefault="00316629" w:rsidP="002A6849">
      <w:pPr>
        <w:spacing w:line="480" w:lineRule="auto"/>
        <w:outlineLvl w:val="0"/>
        <w:rPr>
          <w:rFonts w:ascii="Times New Roman" w:hAnsi="Times New Roman"/>
          <w:b/>
          <w:sz w:val="22"/>
          <w:szCs w:val="22"/>
        </w:rPr>
      </w:pPr>
      <w:r w:rsidRPr="00FD6328">
        <w:rPr>
          <w:rFonts w:ascii="Times New Roman" w:hAnsi="Times New Roman"/>
          <w:b/>
          <w:sz w:val="22"/>
          <w:szCs w:val="22"/>
        </w:rPr>
        <w:t>Name and Citation of Case:</w:t>
      </w:r>
    </w:p>
    <w:p w14:paraId="265FA0D8" w14:textId="11A5635A" w:rsidR="00316629" w:rsidRDefault="00BB6263" w:rsidP="002A6849">
      <w:pPr>
        <w:spacing w:line="480" w:lineRule="auto"/>
        <w:outlineLvl w:val="0"/>
        <w:rPr>
          <w:rFonts w:ascii="Times New Roman" w:hAnsi="Times New Roman"/>
          <w:sz w:val="22"/>
          <w:szCs w:val="22"/>
        </w:rPr>
      </w:pPr>
      <w:r>
        <w:rPr>
          <w:rFonts w:ascii="Times New Roman" w:hAnsi="Times New Roman"/>
          <w:sz w:val="22"/>
          <w:szCs w:val="22"/>
        </w:rPr>
        <w:t xml:space="preserve">Village of </w:t>
      </w:r>
      <w:r w:rsidR="00B36E0C">
        <w:rPr>
          <w:rFonts w:ascii="Times New Roman" w:hAnsi="Times New Roman"/>
          <w:sz w:val="22"/>
          <w:szCs w:val="22"/>
        </w:rPr>
        <w:t>Euclid</w:t>
      </w:r>
      <w:r>
        <w:rPr>
          <w:rFonts w:ascii="Times New Roman" w:hAnsi="Times New Roman"/>
          <w:sz w:val="22"/>
          <w:szCs w:val="22"/>
        </w:rPr>
        <w:t>, OH</w:t>
      </w:r>
      <w:r w:rsidR="00B36E0C">
        <w:rPr>
          <w:rFonts w:ascii="Times New Roman" w:hAnsi="Times New Roman"/>
          <w:sz w:val="22"/>
          <w:szCs w:val="22"/>
        </w:rPr>
        <w:t xml:space="preserve"> v</w:t>
      </w:r>
      <w:r>
        <w:rPr>
          <w:rFonts w:ascii="Times New Roman" w:hAnsi="Times New Roman"/>
          <w:sz w:val="22"/>
          <w:szCs w:val="22"/>
        </w:rPr>
        <w:t>.</w:t>
      </w:r>
      <w:r w:rsidR="00B36E0C">
        <w:rPr>
          <w:rFonts w:ascii="Times New Roman" w:hAnsi="Times New Roman"/>
          <w:sz w:val="22"/>
          <w:szCs w:val="22"/>
        </w:rPr>
        <w:t xml:space="preserve"> Ambler</w:t>
      </w:r>
      <w:r>
        <w:rPr>
          <w:rFonts w:ascii="Times New Roman" w:hAnsi="Times New Roman"/>
          <w:sz w:val="22"/>
          <w:szCs w:val="22"/>
        </w:rPr>
        <w:t xml:space="preserve"> Realty Co., 272 U.S. 365 (1926).</w:t>
      </w:r>
    </w:p>
    <w:p w14:paraId="6A6B813B" w14:textId="77777777" w:rsidR="00A41B52" w:rsidRPr="00316629" w:rsidRDefault="00A41B52" w:rsidP="00316629">
      <w:pPr>
        <w:spacing w:line="480" w:lineRule="auto"/>
        <w:rPr>
          <w:rFonts w:ascii="Times New Roman" w:hAnsi="Times New Roman"/>
          <w:sz w:val="22"/>
          <w:szCs w:val="22"/>
        </w:rPr>
      </w:pPr>
    </w:p>
    <w:p w14:paraId="3DAA4F77" w14:textId="77777777" w:rsidR="00316629" w:rsidRPr="00FD6328" w:rsidRDefault="00316629" w:rsidP="002A6849">
      <w:pPr>
        <w:spacing w:line="480" w:lineRule="auto"/>
        <w:outlineLvl w:val="0"/>
        <w:rPr>
          <w:rFonts w:ascii="Times New Roman" w:hAnsi="Times New Roman"/>
          <w:b/>
          <w:sz w:val="22"/>
          <w:szCs w:val="22"/>
        </w:rPr>
      </w:pPr>
      <w:r w:rsidRPr="00FD6328">
        <w:rPr>
          <w:rFonts w:ascii="Times New Roman" w:hAnsi="Times New Roman"/>
          <w:b/>
          <w:sz w:val="22"/>
          <w:szCs w:val="22"/>
        </w:rPr>
        <w:t>Decision:</w:t>
      </w:r>
    </w:p>
    <w:p w14:paraId="49B76FA2" w14:textId="6AF0EBA7" w:rsidR="00316629" w:rsidRDefault="008457BC" w:rsidP="00316629">
      <w:pPr>
        <w:spacing w:line="480" w:lineRule="auto"/>
        <w:rPr>
          <w:rFonts w:ascii="Times New Roman" w:hAnsi="Times New Roman"/>
          <w:sz w:val="22"/>
          <w:szCs w:val="22"/>
        </w:rPr>
      </w:pPr>
      <w:r>
        <w:rPr>
          <w:rFonts w:ascii="Times New Roman" w:hAnsi="Times New Roman"/>
          <w:sz w:val="22"/>
          <w:szCs w:val="22"/>
        </w:rPr>
        <w:t>Ordinances in general scope with dominant features are a valid excuse/use of authority.  Zoning thus is a valid use of the police powers of local and county governments as they bear a rational relation to the health and safety of a community.</w:t>
      </w:r>
    </w:p>
    <w:p w14:paraId="39499863" w14:textId="77777777" w:rsidR="00A41B52" w:rsidRPr="00316629" w:rsidRDefault="00A41B52" w:rsidP="00316629">
      <w:pPr>
        <w:spacing w:line="480" w:lineRule="auto"/>
        <w:rPr>
          <w:rFonts w:ascii="Times New Roman" w:hAnsi="Times New Roman"/>
          <w:sz w:val="22"/>
          <w:szCs w:val="22"/>
        </w:rPr>
      </w:pPr>
    </w:p>
    <w:p w14:paraId="1D4266CE" w14:textId="77777777" w:rsidR="00316629" w:rsidRPr="00FD6328" w:rsidRDefault="00316629" w:rsidP="002A6849">
      <w:pPr>
        <w:spacing w:line="480" w:lineRule="auto"/>
        <w:outlineLvl w:val="0"/>
        <w:rPr>
          <w:rFonts w:ascii="Times New Roman" w:hAnsi="Times New Roman"/>
          <w:b/>
          <w:sz w:val="22"/>
          <w:szCs w:val="22"/>
        </w:rPr>
      </w:pPr>
      <w:r w:rsidRPr="00FD6328">
        <w:rPr>
          <w:rFonts w:ascii="Times New Roman" w:hAnsi="Times New Roman"/>
          <w:b/>
          <w:sz w:val="22"/>
          <w:szCs w:val="22"/>
        </w:rPr>
        <w:t>How the Vote Decided: Majority Opinion, Concurring, Dissenting:</w:t>
      </w:r>
    </w:p>
    <w:p w14:paraId="176EB538" w14:textId="331C2251" w:rsidR="00316629" w:rsidRDefault="005E1D73" w:rsidP="00316629">
      <w:pPr>
        <w:spacing w:line="480" w:lineRule="auto"/>
        <w:rPr>
          <w:rFonts w:ascii="Times New Roman" w:hAnsi="Times New Roman"/>
          <w:sz w:val="22"/>
          <w:szCs w:val="22"/>
        </w:rPr>
      </w:pPr>
      <w:r>
        <w:rPr>
          <w:rFonts w:ascii="Times New Roman" w:hAnsi="Times New Roman"/>
          <w:sz w:val="22"/>
          <w:szCs w:val="22"/>
        </w:rPr>
        <w:t>The m</w:t>
      </w:r>
      <w:r w:rsidR="00CC42AD">
        <w:rPr>
          <w:rFonts w:ascii="Times New Roman" w:hAnsi="Times New Roman"/>
          <w:sz w:val="22"/>
          <w:szCs w:val="22"/>
        </w:rPr>
        <w:t xml:space="preserve">ajority opinion was </w:t>
      </w:r>
      <w:r w:rsidR="00A41B52">
        <w:rPr>
          <w:rFonts w:ascii="Times New Roman" w:hAnsi="Times New Roman"/>
          <w:sz w:val="22"/>
          <w:szCs w:val="22"/>
        </w:rPr>
        <w:t xml:space="preserve">written by Justice Sutherland and </w:t>
      </w:r>
      <w:r w:rsidR="004C296A">
        <w:rPr>
          <w:rFonts w:ascii="Times New Roman" w:hAnsi="Times New Roman"/>
          <w:sz w:val="22"/>
          <w:szCs w:val="22"/>
        </w:rPr>
        <w:t>was joined</w:t>
      </w:r>
      <w:r w:rsidR="00A41B52">
        <w:rPr>
          <w:rFonts w:ascii="Times New Roman" w:hAnsi="Times New Roman"/>
          <w:sz w:val="22"/>
          <w:szCs w:val="22"/>
        </w:rPr>
        <w:t xml:space="preserve"> by </w:t>
      </w:r>
      <w:r w:rsidR="00CC42AD">
        <w:rPr>
          <w:rFonts w:ascii="Times New Roman" w:hAnsi="Times New Roman"/>
          <w:sz w:val="22"/>
          <w:szCs w:val="22"/>
        </w:rPr>
        <w:t xml:space="preserve">Chief Justice Taft, </w:t>
      </w:r>
      <w:r w:rsidR="00A41B52">
        <w:rPr>
          <w:rFonts w:ascii="Times New Roman" w:hAnsi="Times New Roman"/>
          <w:sz w:val="22"/>
          <w:szCs w:val="22"/>
        </w:rPr>
        <w:t>J</w:t>
      </w:r>
      <w:r w:rsidR="00CC42AD">
        <w:rPr>
          <w:rFonts w:ascii="Times New Roman" w:hAnsi="Times New Roman"/>
          <w:sz w:val="22"/>
          <w:szCs w:val="22"/>
        </w:rPr>
        <w:t>ustice Brandeis, Justice Sanford, Justice Holmes and Justice Stone</w:t>
      </w:r>
      <w:r w:rsidR="004C296A">
        <w:rPr>
          <w:rFonts w:ascii="Times New Roman" w:hAnsi="Times New Roman"/>
          <w:sz w:val="22"/>
          <w:szCs w:val="22"/>
        </w:rPr>
        <w:t>.</w:t>
      </w:r>
      <w:r w:rsidR="00FF5279">
        <w:rPr>
          <w:rFonts w:ascii="Times New Roman" w:hAnsi="Times New Roman"/>
          <w:sz w:val="22"/>
          <w:szCs w:val="22"/>
        </w:rPr>
        <w:t xml:space="preserve"> (Berg-Andersson &amp; Roza, 2010)</w:t>
      </w:r>
    </w:p>
    <w:p w14:paraId="362BD99F" w14:textId="77777777" w:rsidR="004C296A" w:rsidRDefault="004C296A" w:rsidP="00316629">
      <w:pPr>
        <w:spacing w:line="480" w:lineRule="auto"/>
        <w:rPr>
          <w:rFonts w:ascii="Times New Roman" w:hAnsi="Times New Roman"/>
          <w:sz w:val="22"/>
          <w:szCs w:val="22"/>
        </w:rPr>
      </w:pPr>
    </w:p>
    <w:p w14:paraId="4B487EEE" w14:textId="373A45F4" w:rsidR="004C296A" w:rsidRDefault="004C296A" w:rsidP="002A6849">
      <w:pPr>
        <w:spacing w:line="480" w:lineRule="auto"/>
        <w:outlineLvl w:val="0"/>
        <w:rPr>
          <w:rFonts w:ascii="Times New Roman" w:hAnsi="Times New Roman"/>
          <w:sz w:val="22"/>
          <w:szCs w:val="22"/>
        </w:rPr>
      </w:pPr>
      <w:r>
        <w:rPr>
          <w:rFonts w:ascii="Times New Roman" w:hAnsi="Times New Roman"/>
          <w:sz w:val="22"/>
          <w:szCs w:val="22"/>
        </w:rPr>
        <w:t>There appears to be no concurring opinion in this case.</w:t>
      </w:r>
    </w:p>
    <w:p w14:paraId="339E76BE" w14:textId="77777777" w:rsidR="008628A0" w:rsidRDefault="008628A0" w:rsidP="00316629">
      <w:pPr>
        <w:spacing w:line="480" w:lineRule="auto"/>
        <w:rPr>
          <w:rFonts w:ascii="Times New Roman" w:hAnsi="Times New Roman"/>
          <w:sz w:val="22"/>
          <w:szCs w:val="22"/>
        </w:rPr>
      </w:pPr>
    </w:p>
    <w:p w14:paraId="16EF8CB5" w14:textId="24B61479" w:rsidR="00CC42AD" w:rsidRDefault="005E1D73" w:rsidP="00316629">
      <w:pPr>
        <w:spacing w:line="480" w:lineRule="auto"/>
        <w:rPr>
          <w:rFonts w:ascii="Times New Roman" w:hAnsi="Times New Roman"/>
          <w:sz w:val="22"/>
          <w:szCs w:val="22"/>
        </w:rPr>
      </w:pPr>
      <w:r>
        <w:rPr>
          <w:rFonts w:ascii="Times New Roman" w:hAnsi="Times New Roman"/>
          <w:sz w:val="22"/>
          <w:szCs w:val="22"/>
        </w:rPr>
        <w:t>The d</w:t>
      </w:r>
      <w:r w:rsidR="00CC42AD">
        <w:rPr>
          <w:rFonts w:ascii="Times New Roman" w:hAnsi="Times New Roman"/>
          <w:sz w:val="22"/>
          <w:szCs w:val="22"/>
        </w:rPr>
        <w:t>issenting opinion consisted of Justice Van Devanter, Justice McReynolds and Justice Butler</w:t>
      </w:r>
      <w:r w:rsidR="00A41B52">
        <w:rPr>
          <w:rFonts w:ascii="Times New Roman" w:hAnsi="Times New Roman"/>
          <w:sz w:val="22"/>
          <w:szCs w:val="22"/>
        </w:rPr>
        <w:t>.</w:t>
      </w:r>
      <w:r w:rsidR="00FF5279">
        <w:rPr>
          <w:rFonts w:ascii="Times New Roman" w:hAnsi="Times New Roman"/>
          <w:sz w:val="22"/>
          <w:szCs w:val="22"/>
        </w:rPr>
        <w:t xml:space="preserve"> (Village of Euclid, OH v. Ambler Realty Co., 1926)</w:t>
      </w:r>
    </w:p>
    <w:p w14:paraId="5767F3A4" w14:textId="77777777" w:rsidR="00A41B52" w:rsidRPr="00316629" w:rsidRDefault="00A41B52" w:rsidP="00316629">
      <w:pPr>
        <w:spacing w:line="480" w:lineRule="auto"/>
        <w:rPr>
          <w:rFonts w:ascii="Times New Roman" w:hAnsi="Times New Roman"/>
          <w:sz w:val="22"/>
          <w:szCs w:val="22"/>
        </w:rPr>
      </w:pPr>
    </w:p>
    <w:p w14:paraId="0D2AEAA8" w14:textId="77777777" w:rsidR="00316629" w:rsidRPr="00FD6328" w:rsidRDefault="00316629" w:rsidP="002A6849">
      <w:pPr>
        <w:spacing w:line="480" w:lineRule="auto"/>
        <w:outlineLvl w:val="0"/>
        <w:rPr>
          <w:rFonts w:ascii="Times New Roman" w:hAnsi="Times New Roman"/>
          <w:b/>
          <w:sz w:val="22"/>
          <w:szCs w:val="22"/>
        </w:rPr>
      </w:pPr>
      <w:r w:rsidRPr="00FD6328">
        <w:rPr>
          <w:rFonts w:ascii="Times New Roman" w:hAnsi="Times New Roman"/>
          <w:b/>
          <w:sz w:val="22"/>
          <w:szCs w:val="22"/>
        </w:rPr>
        <w:t>Fact Summary and Legal History:</w:t>
      </w:r>
    </w:p>
    <w:p w14:paraId="4278E32E" w14:textId="77F06ADC" w:rsidR="00316629" w:rsidRDefault="00A41B52" w:rsidP="00316629">
      <w:pPr>
        <w:spacing w:line="480" w:lineRule="auto"/>
        <w:rPr>
          <w:rFonts w:ascii="Times New Roman" w:hAnsi="Times New Roman"/>
          <w:sz w:val="22"/>
          <w:szCs w:val="22"/>
        </w:rPr>
      </w:pPr>
      <w:r>
        <w:rPr>
          <w:rFonts w:ascii="Times New Roman" w:hAnsi="Times New Roman"/>
          <w:sz w:val="22"/>
          <w:szCs w:val="22"/>
        </w:rPr>
        <w:t>Amb</w:t>
      </w:r>
      <w:r w:rsidR="00C0374A">
        <w:rPr>
          <w:rFonts w:ascii="Times New Roman" w:hAnsi="Times New Roman"/>
          <w:sz w:val="22"/>
          <w:szCs w:val="22"/>
        </w:rPr>
        <w:t>l</w:t>
      </w:r>
      <w:r>
        <w:rPr>
          <w:rFonts w:ascii="Times New Roman" w:hAnsi="Times New Roman"/>
          <w:sz w:val="22"/>
          <w:szCs w:val="22"/>
        </w:rPr>
        <w:t>er Realty Co. (Amb</w:t>
      </w:r>
      <w:r w:rsidR="00C0374A">
        <w:rPr>
          <w:rFonts w:ascii="Times New Roman" w:hAnsi="Times New Roman"/>
          <w:sz w:val="22"/>
          <w:szCs w:val="22"/>
        </w:rPr>
        <w:t>l</w:t>
      </w:r>
      <w:r>
        <w:rPr>
          <w:rFonts w:ascii="Times New Roman" w:hAnsi="Times New Roman"/>
          <w:sz w:val="22"/>
          <w:szCs w:val="22"/>
        </w:rPr>
        <w:t>er) owned a 68 acre tract of land within the city limits of Euclid, OH (Euclid).  Euclid in 1922 adopted an ordinance that established a comprehensive zoning plan that impacted the tract owned by Amb</w:t>
      </w:r>
      <w:r w:rsidR="00C0374A">
        <w:rPr>
          <w:rFonts w:ascii="Times New Roman" w:hAnsi="Times New Roman"/>
          <w:sz w:val="22"/>
          <w:szCs w:val="22"/>
        </w:rPr>
        <w:t>l</w:t>
      </w:r>
      <w:r>
        <w:rPr>
          <w:rFonts w:ascii="Times New Roman" w:hAnsi="Times New Roman"/>
          <w:sz w:val="22"/>
          <w:szCs w:val="22"/>
        </w:rPr>
        <w:t>er.</w:t>
      </w:r>
      <w:r w:rsidR="009A0B3A">
        <w:rPr>
          <w:rFonts w:ascii="Times New Roman" w:hAnsi="Times New Roman"/>
          <w:sz w:val="22"/>
          <w:szCs w:val="22"/>
        </w:rPr>
        <w:t xml:space="preserve">  Amb</w:t>
      </w:r>
      <w:r w:rsidR="00C0374A">
        <w:rPr>
          <w:rFonts w:ascii="Times New Roman" w:hAnsi="Times New Roman"/>
          <w:sz w:val="22"/>
          <w:szCs w:val="22"/>
        </w:rPr>
        <w:t>l</w:t>
      </w:r>
      <w:r w:rsidR="009A0B3A">
        <w:rPr>
          <w:rFonts w:ascii="Times New Roman" w:hAnsi="Times New Roman"/>
          <w:sz w:val="22"/>
          <w:szCs w:val="22"/>
        </w:rPr>
        <w:t xml:space="preserve">er believed the enactment of this ordinance significantly and negatively impacted the potential value and use of their tract and believe the ordinance thus consisted of an unlawful “seizure” </w:t>
      </w:r>
      <w:r w:rsidR="00461ADA">
        <w:rPr>
          <w:rFonts w:ascii="Times New Roman" w:hAnsi="Times New Roman"/>
          <w:sz w:val="22"/>
          <w:szCs w:val="22"/>
        </w:rPr>
        <w:t>depriving Amb</w:t>
      </w:r>
      <w:r w:rsidR="00C0374A">
        <w:rPr>
          <w:rFonts w:ascii="Times New Roman" w:hAnsi="Times New Roman"/>
          <w:sz w:val="22"/>
          <w:szCs w:val="22"/>
        </w:rPr>
        <w:t>l</w:t>
      </w:r>
      <w:r w:rsidR="00461ADA">
        <w:rPr>
          <w:rFonts w:ascii="Times New Roman" w:hAnsi="Times New Roman"/>
          <w:sz w:val="22"/>
          <w:szCs w:val="22"/>
        </w:rPr>
        <w:t xml:space="preserve">er of liberty and property without due process. </w:t>
      </w:r>
      <w:r w:rsidR="009B5716">
        <w:rPr>
          <w:rFonts w:ascii="Times New Roman" w:hAnsi="Times New Roman"/>
          <w:sz w:val="22"/>
          <w:szCs w:val="22"/>
        </w:rPr>
        <w:t>(Village of Euclid, OH v. Ambler Realty Co., 1926)</w:t>
      </w:r>
    </w:p>
    <w:p w14:paraId="08A8CDE1" w14:textId="77777777" w:rsidR="009230D1" w:rsidRPr="00316629" w:rsidRDefault="009230D1" w:rsidP="00316629">
      <w:pPr>
        <w:spacing w:line="480" w:lineRule="auto"/>
        <w:rPr>
          <w:rFonts w:ascii="Times New Roman" w:hAnsi="Times New Roman"/>
          <w:sz w:val="22"/>
          <w:szCs w:val="22"/>
        </w:rPr>
      </w:pPr>
    </w:p>
    <w:p w14:paraId="32B045BC" w14:textId="77777777" w:rsidR="00316629" w:rsidRPr="00FD6328" w:rsidRDefault="00316629" w:rsidP="002A6849">
      <w:pPr>
        <w:spacing w:line="480" w:lineRule="auto"/>
        <w:outlineLvl w:val="0"/>
        <w:rPr>
          <w:rFonts w:ascii="Times New Roman" w:hAnsi="Times New Roman"/>
          <w:b/>
          <w:sz w:val="22"/>
          <w:szCs w:val="22"/>
        </w:rPr>
      </w:pPr>
      <w:r w:rsidRPr="00FD6328">
        <w:rPr>
          <w:rFonts w:ascii="Times New Roman" w:hAnsi="Times New Roman"/>
          <w:b/>
          <w:sz w:val="22"/>
          <w:szCs w:val="22"/>
        </w:rPr>
        <w:t>Major Question (s) or Issue(s) Presented by the Case:</w:t>
      </w:r>
    </w:p>
    <w:p w14:paraId="2F7017F6" w14:textId="543527D9" w:rsidR="00316629" w:rsidRDefault="009230D1" w:rsidP="00316629">
      <w:pPr>
        <w:spacing w:line="480" w:lineRule="auto"/>
        <w:rPr>
          <w:rFonts w:ascii="Times New Roman" w:hAnsi="Times New Roman"/>
          <w:sz w:val="22"/>
          <w:szCs w:val="22"/>
        </w:rPr>
      </w:pPr>
      <w:r>
        <w:rPr>
          <w:rFonts w:ascii="Times New Roman" w:hAnsi="Times New Roman"/>
          <w:sz w:val="22"/>
          <w:szCs w:val="22"/>
        </w:rPr>
        <w:t xml:space="preserve">As stated in the </w:t>
      </w:r>
      <w:r w:rsidR="00F65996">
        <w:rPr>
          <w:rFonts w:ascii="Times New Roman" w:hAnsi="Times New Roman"/>
          <w:sz w:val="22"/>
          <w:szCs w:val="22"/>
        </w:rPr>
        <w:t>Justice Sutherland’s</w:t>
      </w:r>
      <w:r w:rsidR="009B5716">
        <w:rPr>
          <w:rFonts w:ascii="Times New Roman" w:hAnsi="Times New Roman"/>
          <w:sz w:val="22"/>
          <w:szCs w:val="22"/>
        </w:rPr>
        <w:t xml:space="preserve"> (1926)</w:t>
      </w:r>
      <w:r w:rsidR="00F65996">
        <w:rPr>
          <w:rFonts w:ascii="Times New Roman" w:hAnsi="Times New Roman"/>
          <w:sz w:val="22"/>
          <w:szCs w:val="22"/>
        </w:rPr>
        <w:t xml:space="preserve"> written </w:t>
      </w:r>
      <w:r>
        <w:rPr>
          <w:rFonts w:ascii="Times New Roman" w:hAnsi="Times New Roman"/>
          <w:sz w:val="22"/>
          <w:szCs w:val="22"/>
        </w:rPr>
        <w:t xml:space="preserve">opinion, “Is the ordinance invalid, in that it violates the constitutional provision “to the right of property in the appellee by attempted regulations under the guise of the police power, which are unreasonable and confiscatory”?”  Is the broad and sweeping ordinance set forth by Euclid in this case a constitutional use of municipal powers?  </w:t>
      </w:r>
    </w:p>
    <w:p w14:paraId="3ADE38AF" w14:textId="77777777" w:rsidR="009230D1" w:rsidRPr="00316629" w:rsidRDefault="009230D1" w:rsidP="00316629">
      <w:pPr>
        <w:spacing w:line="480" w:lineRule="auto"/>
        <w:rPr>
          <w:rFonts w:ascii="Times New Roman" w:hAnsi="Times New Roman"/>
          <w:sz w:val="22"/>
          <w:szCs w:val="22"/>
        </w:rPr>
      </w:pPr>
    </w:p>
    <w:p w14:paraId="7A5409F6" w14:textId="77777777" w:rsidR="00316629" w:rsidRDefault="00316629" w:rsidP="002A6849">
      <w:pPr>
        <w:spacing w:line="480" w:lineRule="auto"/>
        <w:outlineLvl w:val="0"/>
        <w:rPr>
          <w:rFonts w:ascii="Times New Roman" w:hAnsi="Times New Roman"/>
          <w:b/>
          <w:sz w:val="22"/>
          <w:szCs w:val="22"/>
        </w:rPr>
      </w:pPr>
      <w:r w:rsidRPr="00FD6328">
        <w:rPr>
          <w:rFonts w:ascii="Times New Roman" w:hAnsi="Times New Roman"/>
          <w:b/>
          <w:sz w:val="22"/>
          <w:szCs w:val="22"/>
        </w:rPr>
        <w:t>Summary of the Court’s Reasoning in Reaching the Answer:</w:t>
      </w:r>
    </w:p>
    <w:p w14:paraId="71192AF1" w14:textId="2EA2F48D" w:rsidR="009230D1" w:rsidRPr="009230D1" w:rsidRDefault="009230D1" w:rsidP="00316629">
      <w:pPr>
        <w:spacing w:line="480" w:lineRule="auto"/>
        <w:rPr>
          <w:rFonts w:ascii="Times New Roman" w:hAnsi="Times New Roman"/>
          <w:sz w:val="22"/>
          <w:szCs w:val="22"/>
        </w:rPr>
      </w:pPr>
      <w:r w:rsidRPr="009230D1">
        <w:rPr>
          <w:rFonts w:ascii="Times New Roman" w:hAnsi="Times New Roman"/>
          <w:sz w:val="22"/>
          <w:szCs w:val="22"/>
        </w:rPr>
        <w:t xml:space="preserve">The court concluded </w:t>
      </w:r>
      <w:r>
        <w:rPr>
          <w:rFonts w:ascii="Times New Roman" w:hAnsi="Times New Roman"/>
          <w:sz w:val="22"/>
          <w:szCs w:val="22"/>
        </w:rPr>
        <w:t xml:space="preserve">that this Ambler’s argument was not based upon an identified present </w:t>
      </w:r>
      <w:r w:rsidR="00A31A74">
        <w:rPr>
          <w:rFonts w:ascii="Times New Roman" w:hAnsi="Times New Roman"/>
          <w:sz w:val="22"/>
          <w:szCs w:val="22"/>
        </w:rPr>
        <w:t>infringement</w:t>
      </w:r>
      <w:r>
        <w:rPr>
          <w:rFonts w:ascii="Times New Roman" w:hAnsi="Times New Roman"/>
          <w:sz w:val="22"/>
          <w:szCs w:val="22"/>
        </w:rPr>
        <w:t xml:space="preserve"> or denial of a specific right but rather upon a broad speculation</w:t>
      </w:r>
      <w:r w:rsidR="00A31A74">
        <w:rPr>
          <w:rFonts w:ascii="Times New Roman" w:hAnsi="Times New Roman"/>
          <w:sz w:val="22"/>
          <w:szCs w:val="22"/>
        </w:rPr>
        <w:t xml:space="preserve"> th</w:t>
      </w:r>
      <w:r>
        <w:rPr>
          <w:rFonts w:ascii="Times New Roman" w:hAnsi="Times New Roman"/>
          <w:sz w:val="22"/>
          <w:szCs w:val="22"/>
        </w:rPr>
        <w:t xml:space="preserve">e existence of such an ordinance and it’s potential enforcement adversely affected the value of the tract and the </w:t>
      </w:r>
      <w:r w:rsidR="0065444E">
        <w:rPr>
          <w:rFonts w:ascii="Times New Roman" w:hAnsi="Times New Roman"/>
          <w:sz w:val="22"/>
          <w:szCs w:val="22"/>
        </w:rPr>
        <w:t xml:space="preserve">opportunities to develop, market and sell or otherwise utilize the tract.  The court concluded that such a challenge would force the court to scrutinize, analyze and examine each and every provision, line, and sentence to determine if any component or subcomponent of the ordinance may, if challenged specifically, be deemed unconstitutional.  </w:t>
      </w:r>
      <w:r w:rsidR="008628A0">
        <w:rPr>
          <w:rFonts w:ascii="Times New Roman" w:hAnsi="Times New Roman"/>
          <w:sz w:val="22"/>
          <w:szCs w:val="22"/>
        </w:rPr>
        <w:t xml:space="preserve">This was something the court refused to undertake.  </w:t>
      </w:r>
      <w:r w:rsidR="0065444E">
        <w:rPr>
          <w:rFonts w:ascii="Times New Roman" w:hAnsi="Times New Roman"/>
          <w:sz w:val="22"/>
          <w:szCs w:val="22"/>
        </w:rPr>
        <w:t>The c</w:t>
      </w:r>
      <w:r w:rsidR="008628A0">
        <w:rPr>
          <w:rFonts w:ascii="Times New Roman" w:hAnsi="Times New Roman"/>
          <w:sz w:val="22"/>
          <w:szCs w:val="22"/>
        </w:rPr>
        <w:t>ourt concluded, as stated in Justice Sutherland’s</w:t>
      </w:r>
      <w:r w:rsidR="0065444E">
        <w:rPr>
          <w:rFonts w:ascii="Times New Roman" w:hAnsi="Times New Roman"/>
          <w:sz w:val="22"/>
          <w:szCs w:val="22"/>
        </w:rPr>
        <w:t xml:space="preserve"> written opinion, that the Euclid ordinance “… in its general scope and dominant features, so far as its provisions are here involved, is a valid exercise of authority, leaving other provisions to be dealt with as cases arise directly involving them.”</w:t>
      </w:r>
      <w:r w:rsidR="009B5716">
        <w:rPr>
          <w:rFonts w:ascii="Times New Roman" w:hAnsi="Times New Roman"/>
          <w:sz w:val="22"/>
          <w:szCs w:val="22"/>
        </w:rPr>
        <w:t xml:space="preserve"> (Village of Euclid, OH v. Ambler Realty Co., 1926)</w:t>
      </w:r>
    </w:p>
    <w:p w14:paraId="050F1B28" w14:textId="77777777" w:rsidR="00316629" w:rsidRPr="00316629" w:rsidRDefault="00316629" w:rsidP="00316629">
      <w:pPr>
        <w:spacing w:line="480" w:lineRule="auto"/>
        <w:rPr>
          <w:rFonts w:ascii="Times New Roman" w:hAnsi="Times New Roman"/>
          <w:sz w:val="22"/>
          <w:szCs w:val="22"/>
        </w:rPr>
      </w:pPr>
    </w:p>
    <w:p w14:paraId="2F917984" w14:textId="77777777" w:rsidR="00316629" w:rsidRPr="00FD6328" w:rsidRDefault="00316629" w:rsidP="002A6849">
      <w:pPr>
        <w:spacing w:line="480" w:lineRule="auto"/>
        <w:outlineLvl w:val="0"/>
        <w:rPr>
          <w:rFonts w:ascii="Times New Roman" w:hAnsi="Times New Roman"/>
          <w:b/>
          <w:sz w:val="22"/>
          <w:szCs w:val="22"/>
        </w:rPr>
      </w:pPr>
      <w:r w:rsidRPr="00FD6328">
        <w:rPr>
          <w:rFonts w:ascii="Times New Roman" w:hAnsi="Times New Roman"/>
          <w:b/>
          <w:sz w:val="22"/>
          <w:szCs w:val="22"/>
        </w:rPr>
        <w:t>Summary of Significant Concurring and Dissenting Opinions:</w:t>
      </w:r>
    </w:p>
    <w:p w14:paraId="7AEF8854" w14:textId="6FE11A26" w:rsidR="00316629" w:rsidRDefault="0089527E" w:rsidP="00316629">
      <w:pPr>
        <w:spacing w:line="480" w:lineRule="auto"/>
        <w:rPr>
          <w:rFonts w:ascii="Times New Roman" w:hAnsi="Times New Roman"/>
          <w:sz w:val="22"/>
          <w:szCs w:val="22"/>
        </w:rPr>
      </w:pPr>
      <w:r>
        <w:rPr>
          <w:rFonts w:ascii="Times New Roman" w:hAnsi="Times New Roman"/>
          <w:sz w:val="22"/>
          <w:szCs w:val="22"/>
        </w:rPr>
        <w:t xml:space="preserve">Internet searches failed </w:t>
      </w:r>
      <w:r w:rsidR="00177945">
        <w:rPr>
          <w:rFonts w:ascii="Times New Roman" w:hAnsi="Times New Roman"/>
          <w:sz w:val="22"/>
          <w:szCs w:val="22"/>
        </w:rPr>
        <w:t>to locate a concurring or dissenting written opinion concerning this case.</w:t>
      </w:r>
      <w:r>
        <w:rPr>
          <w:rFonts w:ascii="Times New Roman" w:hAnsi="Times New Roman"/>
          <w:sz w:val="22"/>
          <w:szCs w:val="22"/>
        </w:rPr>
        <w:t xml:space="preserve">  References were located that indicated Justices Van Devanter, McReynolds and Butler dissented with Justice Sutherland’s written opinion. (Village of Euclid, OH v. Ambler Realty Co., 1926; Berg-Andersson &amp; Roza, 2010)</w:t>
      </w:r>
    </w:p>
    <w:p w14:paraId="2973B5B8" w14:textId="77777777" w:rsidR="00177945" w:rsidRPr="00316629" w:rsidRDefault="00177945" w:rsidP="00316629">
      <w:pPr>
        <w:spacing w:line="480" w:lineRule="auto"/>
        <w:rPr>
          <w:rFonts w:ascii="Times New Roman" w:hAnsi="Times New Roman"/>
          <w:sz w:val="22"/>
          <w:szCs w:val="22"/>
        </w:rPr>
      </w:pPr>
    </w:p>
    <w:p w14:paraId="524DF461" w14:textId="77777777" w:rsidR="00316629" w:rsidRPr="00FD6328" w:rsidRDefault="00316629" w:rsidP="002A6849">
      <w:pPr>
        <w:spacing w:line="480" w:lineRule="auto"/>
        <w:outlineLvl w:val="0"/>
        <w:rPr>
          <w:rFonts w:ascii="Times New Roman" w:hAnsi="Times New Roman"/>
          <w:b/>
          <w:sz w:val="22"/>
          <w:szCs w:val="22"/>
        </w:rPr>
      </w:pPr>
      <w:r w:rsidRPr="00FD6328">
        <w:rPr>
          <w:rFonts w:ascii="Times New Roman" w:hAnsi="Times New Roman"/>
          <w:b/>
          <w:sz w:val="22"/>
          <w:szCs w:val="22"/>
        </w:rPr>
        <w:t>Significance:  What Does This Opinion Mean for the Law?</w:t>
      </w:r>
    </w:p>
    <w:p w14:paraId="585A8E95" w14:textId="4D8D4B2F" w:rsidR="005552F5" w:rsidRDefault="00F65996" w:rsidP="00034CA7">
      <w:pPr>
        <w:tabs>
          <w:tab w:val="left" w:pos="630"/>
        </w:tabs>
        <w:spacing w:line="480" w:lineRule="auto"/>
        <w:rPr>
          <w:rFonts w:ascii="Times New Roman" w:hAnsi="Times New Roman"/>
          <w:sz w:val="22"/>
          <w:szCs w:val="22"/>
        </w:rPr>
      </w:pPr>
      <w:r>
        <w:rPr>
          <w:rFonts w:ascii="Times New Roman" w:hAnsi="Times New Roman"/>
          <w:sz w:val="22"/>
          <w:szCs w:val="22"/>
        </w:rPr>
        <w:t xml:space="preserve">This opinion clearly established the constitutionality of the concept of zoning and the police powers of the local government.  It established that an ordinance </w:t>
      </w:r>
      <w:r w:rsidR="00A7081F">
        <w:rPr>
          <w:rFonts w:ascii="Times New Roman" w:hAnsi="Times New Roman"/>
          <w:sz w:val="22"/>
          <w:szCs w:val="22"/>
        </w:rPr>
        <w:t>forming</w:t>
      </w:r>
      <w:r>
        <w:rPr>
          <w:rFonts w:ascii="Times New Roman" w:hAnsi="Times New Roman"/>
          <w:sz w:val="22"/>
          <w:szCs w:val="22"/>
        </w:rPr>
        <w:t xml:space="preserve"> a comprehensive zoning plan was clearly within the right of local governments in that it bears a direct relation to a government’s need, want, duty and ability to care for the </w:t>
      </w:r>
      <w:r w:rsidR="005552F5">
        <w:rPr>
          <w:rFonts w:ascii="Times New Roman" w:hAnsi="Times New Roman"/>
          <w:sz w:val="22"/>
          <w:szCs w:val="22"/>
        </w:rPr>
        <w:t xml:space="preserve">welfare, </w:t>
      </w:r>
      <w:r>
        <w:rPr>
          <w:rFonts w:ascii="Times New Roman" w:hAnsi="Times New Roman"/>
          <w:sz w:val="22"/>
          <w:szCs w:val="22"/>
        </w:rPr>
        <w:t xml:space="preserve">health and safety of the community.  </w:t>
      </w:r>
      <w:r w:rsidR="00A7081F">
        <w:rPr>
          <w:rFonts w:ascii="Times New Roman" w:hAnsi="Times New Roman"/>
          <w:sz w:val="22"/>
          <w:szCs w:val="22"/>
        </w:rPr>
        <w:t xml:space="preserve">This decision strengthened the emerging concept/practice of zoning and helped to define the broad and sweeping police powers of a local government. </w:t>
      </w:r>
    </w:p>
    <w:p w14:paraId="5C68A953" w14:textId="77777777" w:rsidR="005552F5" w:rsidRDefault="005552F5" w:rsidP="00034CA7">
      <w:pPr>
        <w:tabs>
          <w:tab w:val="left" w:pos="630"/>
        </w:tabs>
        <w:spacing w:line="480" w:lineRule="auto"/>
        <w:rPr>
          <w:rFonts w:ascii="Times New Roman" w:hAnsi="Times New Roman"/>
          <w:sz w:val="22"/>
          <w:szCs w:val="22"/>
        </w:rPr>
      </w:pPr>
    </w:p>
    <w:p w14:paraId="13A4FC71" w14:textId="5168D3B3" w:rsidR="00316629" w:rsidRDefault="00F65996" w:rsidP="00034CA7">
      <w:pPr>
        <w:tabs>
          <w:tab w:val="left" w:pos="630"/>
        </w:tabs>
        <w:spacing w:line="480" w:lineRule="auto"/>
        <w:rPr>
          <w:rFonts w:ascii="Times New Roman" w:hAnsi="Times New Roman"/>
          <w:sz w:val="22"/>
          <w:szCs w:val="22"/>
        </w:rPr>
      </w:pPr>
      <w:r>
        <w:rPr>
          <w:rFonts w:ascii="Times New Roman" w:hAnsi="Times New Roman"/>
          <w:sz w:val="22"/>
          <w:szCs w:val="22"/>
        </w:rPr>
        <w:t>In addition, it</w:t>
      </w:r>
      <w:r w:rsidR="008628A0">
        <w:rPr>
          <w:rFonts w:ascii="Times New Roman" w:hAnsi="Times New Roman"/>
          <w:sz w:val="22"/>
          <w:szCs w:val="22"/>
        </w:rPr>
        <w:t xml:space="preserve"> established that general broad, sweeping </w:t>
      </w:r>
      <w:r>
        <w:rPr>
          <w:rFonts w:ascii="Times New Roman" w:hAnsi="Times New Roman"/>
          <w:sz w:val="22"/>
          <w:szCs w:val="22"/>
        </w:rPr>
        <w:t xml:space="preserve">challenges to such an ordinance or comprehensive plan will not be entertained by the court while at the same time specific challenges to particular provisions contained in an ordinance or comprehensive plan may/will be entertained by the court.  </w:t>
      </w:r>
    </w:p>
    <w:p w14:paraId="7ABA76DE" w14:textId="77777777" w:rsidR="00177945" w:rsidRPr="00316629" w:rsidRDefault="00177945" w:rsidP="00316629">
      <w:pPr>
        <w:spacing w:line="480" w:lineRule="auto"/>
        <w:rPr>
          <w:rFonts w:ascii="Times New Roman" w:hAnsi="Times New Roman"/>
          <w:sz w:val="22"/>
          <w:szCs w:val="22"/>
        </w:rPr>
      </w:pPr>
    </w:p>
    <w:p w14:paraId="3B752E4D" w14:textId="77777777" w:rsidR="00316629" w:rsidRPr="00FD6328" w:rsidRDefault="00316629" w:rsidP="002A6849">
      <w:pPr>
        <w:spacing w:line="480" w:lineRule="auto"/>
        <w:outlineLvl w:val="0"/>
        <w:rPr>
          <w:rFonts w:ascii="Times New Roman" w:hAnsi="Times New Roman"/>
          <w:b/>
          <w:sz w:val="22"/>
          <w:szCs w:val="22"/>
        </w:rPr>
      </w:pPr>
      <w:r w:rsidRPr="00FD6328">
        <w:rPr>
          <w:rFonts w:ascii="Times New Roman" w:hAnsi="Times New Roman"/>
          <w:b/>
          <w:sz w:val="22"/>
          <w:szCs w:val="22"/>
        </w:rPr>
        <w:t>Personal Interpretation and Substance?</w:t>
      </w:r>
    </w:p>
    <w:p w14:paraId="2D7639D4" w14:textId="0CC96F48" w:rsidR="00772280" w:rsidRDefault="008D1A16" w:rsidP="00316629">
      <w:pPr>
        <w:spacing w:line="480" w:lineRule="auto"/>
        <w:rPr>
          <w:rFonts w:ascii="Times New Roman" w:hAnsi="Times New Roman"/>
          <w:sz w:val="22"/>
          <w:szCs w:val="22"/>
        </w:rPr>
      </w:pPr>
      <w:r>
        <w:rPr>
          <w:rFonts w:ascii="Times New Roman" w:hAnsi="Times New Roman"/>
          <w:sz w:val="22"/>
          <w:szCs w:val="22"/>
        </w:rPr>
        <w:t xml:space="preserve">I feel the court struck a balance in that while broad general challenges that consist of mere speculation or potentials, such as ifs, will not be entertained, specific challenges that have a basis in grounds, evidence, or other substance may/will be entertained by the court.  This demonstrated  that challenges consisting of essentially nothing more than guesses or a general “we just don’t like it” are not sufficient to bring forward to the court but challenges that have solid and specific arguments </w:t>
      </w:r>
      <w:r w:rsidR="00A356DC">
        <w:rPr>
          <w:rFonts w:ascii="Times New Roman" w:hAnsi="Times New Roman"/>
          <w:sz w:val="22"/>
          <w:szCs w:val="22"/>
        </w:rPr>
        <w:t>could/</w:t>
      </w:r>
      <w:r>
        <w:rPr>
          <w:rFonts w:ascii="Times New Roman" w:hAnsi="Times New Roman"/>
          <w:sz w:val="22"/>
          <w:szCs w:val="22"/>
        </w:rPr>
        <w:t xml:space="preserve">would be heard. </w:t>
      </w:r>
      <w:r w:rsidR="00772280">
        <w:rPr>
          <w:rFonts w:ascii="Times New Roman" w:hAnsi="Times New Roman"/>
          <w:sz w:val="22"/>
          <w:szCs w:val="22"/>
        </w:rPr>
        <w:t xml:space="preserve">  </w:t>
      </w:r>
      <w:r w:rsidR="00A356DC">
        <w:rPr>
          <w:rFonts w:ascii="Times New Roman" w:hAnsi="Times New Roman"/>
          <w:sz w:val="22"/>
          <w:szCs w:val="22"/>
        </w:rPr>
        <w:t>There is a reasonableness to such an opinion that strikes a balance between substance and speculation.</w:t>
      </w:r>
    </w:p>
    <w:p w14:paraId="193D9B90" w14:textId="77777777" w:rsidR="00772280" w:rsidRDefault="00772280" w:rsidP="00316629">
      <w:pPr>
        <w:spacing w:line="480" w:lineRule="auto"/>
        <w:rPr>
          <w:rFonts w:ascii="Times New Roman" w:hAnsi="Times New Roman"/>
          <w:sz w:val="22"/>
          <w:szCs w:val="22"/>
        </w:rPr>
      </w:pPr>
    </w:p>
    <w:p w14:paraId="793515CD" w14:textId="408A3705" w:rsidR="00316629" w:rsidRPr="00A7081F" w:rsidRDefault="00772280" w:rsidP="00316629">
      <w:pPr>
        <w:spacing w:line="480" w:lineRule="auto"/>
        <w:rPr>
          <w:rFonts w:ascii="Times New Roman" w:hAnsi="Times New Roman"/>
          <w:sz w:val="22"/>
          <w:szCs w:val="22"/>
        </w:rPr>
      </w:pPr>
      <w:r>
        <w:rPr>
          <w:rFonts w:ascii="Times New Roman" w:hAnsi="Times New Roman"/>
          <w:sz w:val="22"/>
          <w:szCs w:val="22"/>
        </w:rPr>
        <w:t xml:space="preserve">The court demonstrated understanding that while such a comprehensive plan may </w:t>
      </w:r>
      <w:r w:rsidR="00A91487">
        <w:rPr>
          <w:rFonts w:ascii="Times New Roman" w:hAnsi="Times New Roman"/>
          <w:sz w:val="22"/>
          <w:szCs w:val="22"/>
        </w:rPr>
        <w:t>accidentally</w:t>
      </w:r>
      <w:r>
        <w:rPr>
          <w:rFonts w:ascii="Times New Roman" w:hAnsi="Times New Roman"/>
          <w:sz w:val="22"/>
          <w:szCs w:val="22"/>
        </w:rPr>
        <w:t xml:space="preserve"> or unfortunately exclude a business or entity n</w:t>
      </w:r>
      <w:r w:rsidR="0002083C">
        <w:rPr>
          <w:rFonts w:ascii="Times New Roman" w:hAnsi="Times New Roman"/>
          <w:sz w:val="22"/>
          <w:szCs w:val="22"/>
        </w:rPr>
        <w:t>ot intended for exclusion from</w:t>
      </w:r>
      <w:r>
        <w:rPr>
          <w:rFonts w:ascii="Times New Roman" w:hAnsi="Times New Roman"/>
          <w:sz w:val="22"/>
          <w:szCs w:val="22"/>
        </w:rPr>
        <w:t xml:space="preserve"> specific area</w:t>
      </w:r>
      <w:r w:rsidR="00A91487">
        <w:rPr>
          <w:rFonts w:ascii="Times New Roman" w:hAnsi="Times New Roman"/>
          <w:sz w:val="22"/>
          <w:szCs w:val="22"/>
        </w:rPr>
        <w:t>, this unintended conseq</w:t>
      </w:r>
      <w:r w:rsidR="0002083C">
        <w:rPr>
          <w:rFonts w:ascii="Times New Roman" w:hAnsi="Times New Roman"/>
          <w:sz w:val="22"/>
          <w:szCs w:val="22"/>
        </w:rPr>
        <w:t xml:space="preserve">uence does not invalidate the </w:t>
      </w:r>
      <w:r w:rsidR="00A91487">
        <w:rPr>
          <w:rFonts w:ascii="Times New Roman" w:hAnsi="Times New Roman"/>
          <w:sz w:val="22"/>
          <w:szCs w:val="22"/>
        </w:rPr>
        <w:t xml:space="preserve">constitutionality of the specific ordinance or comprehensive plan or the broad and sweeping police powers of the local government in safeguarding the health, safety and welfare of its community.  </w:t>
      </w:r>
    </w:p>
    <w:p w14:paraId="04926345" w14:textId="77777777" w:rsidR="00316629" w:rsidRDefault="00316629" w:rsidP="00316629">
      <w:pPr>
        <w:spacing w:line="480" w:lineRule="auto"/>
      </w:pPr>
    </w:p>
    <w:p w14:paraId="43F98BC1" w14:textId="2326DDCF" w:rsidR="00101823" w:rsidRPr="00BC23E1" w:rsidRDefault="009B5716" w:rsidP="009B5716">
      <w:pPr>
        <w:spacing w:line="480" w:lineRule="auto"/>
        <w:rPr>
          <w:b/>
        </w:rPr>
      </w:pPr>
      <w:r w:rsidRPr="009B5716">
        <w:rPr>
          <w:b/>
        </w:rPr>
        <w:t>Reference(s):</w:t>
      </w:r>
    </w:p>
    <w:p w14:paraId="5773325E" w14:textId="16FFAEC7" w:rsidR="00101823" w:rsidRDefault="00101823" w:rsidP="00DA1442">
      <w:pPr>
        <w:tabs>
          <w:tab w:val="left" w:pos="450"/>
        </w:tabs>
        <w:spacing w:line="480" w:lineRule="auto"/>
        <w:ind w:left="450" w:hanging="450"/>
        <w:rPr>
          <w:rFonts w:ascii="Times New Roman" w:hAnsi="Times New Roman"/>
          <w:sz w:val="22"/>
          <w:szCs w:val="22"/>
        </w:rPr>
      </w:pPr>
      <w:r>
        <w:rPr>
          <w:rFonts w:ascii="Times New Roman" w:hAnsi="Times New Roman"/>
          <w:sz w:val="22"/>
          <w:szCs w:val="22"/>
        </w:rPr>
        <w:t xml:space="preserve">Berg-Andersson, R. &amp; Roza, T. (2010, August 08). Justices of the United States Supreme Court. Retrieved from </w:t>
      </w:r>
      <w:r w:rsidRPr="00101823">
        <w:rPr>
          <w:rFonts w:ascii="Times New Roman" w:hAnsi="Times New Roman"/>
          <w:sz w:val="22"/>
          <w:szCs w:val="22"/>
        </w:rPr>
        <w:t>http://www.thegreenpapers.com/Hx/JusticesUSSC.html</w:t>
      </w:r>
    </w:p>
    <w:p w14:paraId="1AD1CC7E" w14:textId="1629564B" w:rsidR="009B5716" w:rsidRDefault="00101823" w:rsidP="00DA1442">
      <w:pPr>
        <w:tabs>
          <w:tab w:val="left" w:pos="450"/>
        </w:tabs>
        <w:spacing w:line="480" w:lineRule="auto"/>
        <w:ind w:left="450" w:hanging="450"/>
        <w:rPr>
          <w:rFonts w:ascii="Times New Roman" w:hAnsi="Times New Roman"/>
          <w:sz w:val="22"/>
          <w:szCs w:val="22"/>
        </w:rPr>
      </w:pPr>
      <w:r>
        <w:rPr>
          <w:rFonts w:ascii="Times New Roman" w:hAnsi="Times New Roman"/>
          <w:sz w:val="22"/>
          <w:szCs w:val="22"/>
        </w:rPr>
        <w:t>FindLaw. (n.d.</w:t>
      </w:r>
      <w:r w:rsidR="009B5716">
        <w:rPr>
          <w:rFonts w:ascii="Times New Roman" w:hAnsi="Times New Roman"/>
          <w:sz w:val="22"/>
          <w:szCs w:val="22"/>
        </w:rPr>
        <w:t>)</w:t>
      </w:r>
      <w:r>
        <w:rPr>
          <w:rFonts w:ascii="Times New Roman" w:hAnsi="Times New Roman"/>
          <w:sz w:val="22"/>
          <w:szCs w:val="22"/>
        </w:rPr>
        <w:t>.</w:t>
      </w:r>
      <w:r w:rsidR="009B5716">
        <w:rPr>
          <w:rFonts w:ascii="Times New Roman" w:hAnsi="Times New Roman"/>
          <w:sz w:val="22"/>
          <w:szCs w:val="22"/>
        </w:rPr>
        <w:t xml:space="preserve"> Village of Euclid, Ohio v. Ambler Realty Co. Retrieved from </w:t>
      </w:r>
      <w:r w:rsidR="009B5716" w:rsidRPr="009B5716">
        <w:rPr>
          <w:rFonts w:ascii="Times New Roman" w:hAnsi="Times New Roman"/>
          <w:sz w:val="22"/>
          <w:szCs w:val="22"/>
        </w:rPr>
        <w:t>http://caselaw.lp.findlaw.com/scripts/getcase.pl?court=US&amp;vol=272&amp;invol=365</w:t>
      </w:r>
    </w:p>
    <w:p w14:paraId="7CF70369" w14:textId="77777777" w:rsidR="009B5716" w:rsidRDefault="009B5716" w:rsidP="00DA1442">
      <w:pPr>
        <w:tabs>
          <w:tab w:val="left" w:pos="450"/>
        </w:tabs>
        <w:spacing w:line="480" w:lineRule="auto"/>
        <w:ind w:left="450" w:hanging="450"/>
        <w:rPr>
          <w:rFonts w:ascii="Times New Roman" w:hAnsi="Times New Roman"/>
          <w:sz w:val="22"/>
          <w:szCs w:val="22"/>
        </w:rPr>
      </w:pPr>
      <w:r>
        <w:rPr>
          <w:rFonts w:ascii="Times New Roman" w:hAnsi="Times New Roman"/>
          <w:sz w:val="22"/>
          <w:szCs w:val="22"/>
        </w:rPr>
        <w:t>Village of Euclid, OH v. Ambler Realty Co., 272 U.S. 365 (1926).</w:t>
      </w:r>
    </w:p>
    <w:p w14:paraId="2C7C3531" w14:textId="77777777" w:rsidR="009B5716" w:rsidRDefault="009B5716" w:rsidP="009B5716">
      <w:pPr>
        <w:spacing w:line="480" w:lineRule="auto"/>
        <w:rPr>
          <w:rFonts w:ascii="Times New Roman" w:hAnsi="Times New Roman"/>
          <w:sz w:val="22"/>
          <w:szCs w:val="22"/>
        </w:rPr>
      </w:pPr>
    </w:p>
    <w:p w14:paraId="2B4AC915" w14:textId="77777777" w:rsidR="009B5716" w:rsidRDefault="009B5716" w:rsidP="009B5716">
      <w:pPr>
        <w:spacing w:line="480" w:lineRule="auto"/>
        <w:rPr>
          <w:rFonts w:ascii="Times New Roman" w:hAnsi="Times New Roman"/>
          <w:sz w:val="22"/>
          <w:szCs w:val="22"/>
        </w:rPr>
      </w:pPr>
    </w:p>
    <w:p w14:paraId="6F1100DE" w14:textId="77777777" w:rsidR="009B5716" w:rsidRDefault="009B5716" w:rsidP="009B5716">
      <w:pPr>
        <w:spacing w:line="480" w:lineRule="auto"/>
        <w:rPr>
          <w:rFonts w:ascii="Times New Roman" w:hAnsi="Times New Roman"/>
          <w:sz w:val="22"/>
          <w:szCs w:val="22"/>
        </w:rPr>
      </w:pPr>
    </w:p>
    <w:p w14:paraId="638FCDA3" w14:textId="77777777" w:rsidR="009B5716" w:rsidRDefault="009B5716" w:rsidP="00316629">
      <w:pPr>
        <w:spacing w:line="480" w:lineRule="auto"/>
      </w:pPr>
    </w:p>
    <w:p w14:paraId="653C8094" w14:textId="77777777" w:rsidR="00316629" w:rsidRDefault="00316629"/>
    <w:p w14:paraId="5D1DA7F9" w14:textId="77777777" w:rsidR="00316629" w:rsidRDefault="00316629"/>
    <w:sectPr w:rsidR="00316629" w:rsidSect="00316629">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333B15" w14:textId="77777777" w:rsidR="009B5716" w:rsidRDefault="009B5716" w:rsidP="00316629">
      <w:r>
        <w:separator/>
      </w:r>
    </w:p>
  </w:endnote>
  <w:endnote w:type="continuationSeparator" w:id="0">
    <w:p w14:paraId="652EB0B7" w14:textId="77777777" w:rsidR="009B5716" w:rsidRDefault="009B5716" w:rsidP="0031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66426" w14:textId="77777777" w:rsidR="009B5716" w:rsidRDefault="009B5716" w:rsidP="00034C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353EF7" w14:textId="77777777" w:rsidR="009B5716" w:rsidRDefault="009B5716" w:rsidP="00A31A7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D1451" w14:textId="77777777" w:rsidR="009B5716" w:rsidRDefault="009B5716" w:rsidP="00034C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28E0">
      <w:rPr>
        <w:rStyle w:val="PageNumber"/>
        <w:noProof/>
      </w:rPr>
      <w:t>1</w:t>
    </w:r>
    <w:r>
      <w:rPr>
        <w:rStyle w:val="PageNumber"/>
      </w:rPr>
      <w:fldChar w:fldCharType="end"/>
    </w:r>
  </w:p>
  <w:p w14:paraId="7FAF8688" w14:textId="77777777" w:rsidR="009B5716" w:rsidRDefault="009B5716" w:rsidP="00A31A74">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665A6" w14:textId="77777777" w:rsidR="001E28E0" w:rsidRDefault="001E28E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C1DF1C" w14:textId="77777777" w:rsidR="009B5716" w:rsidRDefault="009B5716" w:rsidP="00316629">
      <w:r>
        <w:separator/>
      </w:r>
    </w:p>
  </w:footnote>
  <w:footnote w:type="continuationSeparator" w:id="0">
    <w:p w14:paraId="533A5139" w14:textId="77777777" w:rsidR="009B5716" w:rsidRDefault="009B5716" w:rsidP="0031662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70B83" w14:textId="77777777" w:rsidR="001E28E0" w:rsidRDefault="001E28E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18AE8" w14:textId="17DC878F" w:rsidR="009B5716" w:rsidRDefault="001E28E0">
    <w:pPr>
      <w:pStyle w:val="Header"/>
    </w:pPr>
    <w:r>
      <w:t>CMRJ601</w:t>
    </w:r>
    <w:r w:rsidR="00C87C45">
      <w:t xml:space="preserve"> </w:t>
    </w:r>
    <w:r w:rsidR="009B5716">
      <w:t>Brief 1</w:t>
    </w:r>
    <w:r w:rsidR="009B5716">
      <w:tab/>
    </w:r>
    <w:r w:rsidR="009B5716">
      <w:tab/>
    </w:r>
    <w:r>
      <w:t xml:space="preserve">Dr. </w:t>
    </w:r>
    <w:r w:rsidR="009B5716">
      <w:t>Chuck Russo</w:t>
    </w:r>
    <w:r w:rsidR="009B5716">
      <w:tab/>
    </w:r>
    <w:r w:rsidR="009B5716">
      <w:tab/>
    </w:r>
  </w:p>
  <w:p w14:paraId="0BFAA5E6" w14:textId="02492BD4" w:rsidR="009B5716" w:rsidRDefault="009B5716">
    <w:pPr>
      <w:pStyle w:val="Header"/>
    </w:pPr>
    <w:r>
      <w:rPr>
        <w:rFonts w:ascii="Times New Roman" w:hAnsi="Times New Roman"/>
        <w:sz w:val="22"/>
        <w:szCs w:val="22"/>
      </w:rPr>
      <w:t>Village of Euclid, OH v. Ambler Realty Co.</w:t>
    </w:r>
    <w:bookmarkStart w:id="0" w:name="_GoBack"/>
    <w:bookmarkEnd w:id="0"/>
    <w:r>
      <w:tab/>
    </w:r>
    <w:r>
      <w:tab/>
    </w:r>
    <w:r w:rsidR="001E28E0">
      <w:t>DATE</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911AA" w14:textId="77777777" w:rsidR="001E28E0" w:rsidRDefault="001E28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629"/>
    <w:rsid w:val="0002083C"/>
    <w:rsid w:val="00034CA7"/>
    <w:rsid w:val="000A7288"/>
    <w:rsid w:val="00101823"/>
    <w:rsid w:val="00177945"/>
    <w:rsid w:val="00194CD8"/>
    <w:rsid w:val="001E28E0"/>
    <w:rsid w:val="002A6849"/>
    <w:rsid w:val="00316629"/>
    <w:rsid w:val="00461ADA"/>
    <w:rsid w:val="004C296A"/>
    <w:rsid w:val="005552F5"/>
    <w:rsid w:val="005E1D73"/>
    <w:rsid w:val="0065444E"/>
    <w:rsid w:val="00772280"/>
    <w:rsid w:val="008457BC"/>
    <w:rsid w:val="008628A0"/>
    <w:rsid w:val="008770BB"/>
    <w:rsid w:val="0089527E"/>
    <w:rsid w:val="008D1A16"/>
    <w:rsid w:val="009230D1"/>
    <w:rsid w:val="009A0B3A"/>
    <w:rsid w:val="009B5716"/>
    <w:rsid w:val="00A31A74"/>
    <w:rsid w:val="00A356DC"/>
    <w:rsid w:val="00A41B52"/>
    <w:rsid w:val="00A7081F"/>
    <w:rsid w:val="00A91487"/>
    <w:rsid w:val="00B36E0C"/>
    <w:rsid w:val="00BA7AD4"/>
    <w:rsid w:val="00BB6263"/>
    <w:rsid w:val="00BC23E1"/>
    <w:rsid w:val="00C0374A"/>
    <w:rsid w:val="00C87C45"/>
    <w:rsid w:val="00CC42AD"/>
    <w:rsid w:val="00CF6204"/>
    <w:rsid w:val="00DA1442"/>
    <w:rsid w:val="00F65996"/>
    <w:rsid w:val="00FD6328"/>
    <w:rsid w:val="00FF527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D12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629"/>
    <w:pPr>
      <w:tabs>
        <w:tab w:val="center" w:pos="4320"/>
        <w:tab w:val="right" w:pos="8640"/>
      </w:tabs>
    </w:pPr>
  </w:style>
  <w:style w:type="character" w:customStyle="1" w:styleId="HeaderChar">
    <w:name w:val="Header Char"/>
    <w:basedOn w:val="DefaultParagraphFont"/>
    <w:link w:val="Header"/>
    <w:uiPriority w:val="99"/>
    <w:rsid w:val="00316629"/>
  </w:style>
  <w:style w:type="paragraph" w:styleId="Footer">
    <w:name w:val="footer"/>
    <w:basedOn w:val="Normal"/>
    <w:link w:val="FooterChar"/>
    <w:uiPriority w:val="99"/>
    <w:unhideWhenUsed/>
    <w:rsid w:val="00316629"/>
    <w:pPr>
      <w:tabs>
        <w:tab w:val="center" w:pos="4320"/>
        <w:tab w:val="right" w:pos="8640"/>
      </w:tabs>
    </w:pPr>
  </w:style>
  <w:style w:type="character" w:customStyle="1" w:styleId="FooterChar">
    <w:name w:val="Footer Char"/>
    <w:basedOn w:val="DefaultParagraphFont"/>
    <w:link w:val="Footer"/>
    <w:uiPriority w:val="99"/>
    <w:rsid w:val="00316629"/>
  </w:style>
  <w:style w:type="character" w:styleId="PageNumber">
    <w:name w:val="page number"/>
    <w:basedOn w:val="DefaultParagraphFont"/>
    <w:uiPriority w:val="99"/>
    <w:semiHidden/>
    <w:unhideWhenUsed/>
    <w:rsid w:val="00A31A7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629"/>
    <w:pPr>
      <w:tabs>
        <w:tab w:val="center" w:pos="4320"/>
        <w:tab w:val="right" w:pos="8640"/>
      </w:tabs>
    </w:pPr>
  </w:style>
  <w:style w:type="character" w:customStyle="1" w:styleId="HeaderChar">
    <w:name w:val="Header Char"/>
    <w:basedOn w:val="DefaultParagraphFont"/>
    <w:link w:val="Header"/>
    <w:uiPriority w:val="99"/>
    <w:rsid w:val="00316629"/>
  </w:style>
  <w:style w:type="paragraph" w:styleId="Footer">
    <w:name w:val="footer"/>
    <w:basedOn w:val="Normal"/>
    <w:link w:val="FooterChar"/>
    <w:uiPriority w:val="99"/>
    <w:unhideWhenUsed/>
    <w:rsid w:val="00316629"/>
    <w:pPr>
      <w:tabs>
        <w:tab w:val="center" w:pos="4320"/>
        <w:tab w:val="right" w:pos="8640"/>
      </w:tabs>
    </w:pPr>
  </w:style>
  <w:style w:type="character" w:customStyle="1" w:styleId="FooterChar">
    <w:name w:val="Footer Char"/>
    <w:basedOn w:val="DefaultParagraphFont"/>
    <w:link w:val="Footer"/>
    <w:uiPriority w:val="99"/>
    <w:rsid w:val="00316629"/>
  </w:style>
  <w:style w:type="character" w:styleId="PageNumber">
    <w:name w:val="page number"/>
    <w:basedOn w:val="DefaultParagraphFont"/>
    <w:uiPriority w:val="99"/>
    <w:semiHidden/>
    <w:unhideWhenUsed/>
    <w:rsid w:val="00A31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852</Words>
  <Characters>4860</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SPS Group</Company>
  <LinksUpToDate>false</LinksUpToDate>
  <CharactersWithSpaces>5701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Russo</dc:creator>
  <cp:keywords/>
  <dc:description/>
  <cp:lastModifiedBy>Chuck Russo</cp:lastModifiedBy>
  <cp:revision>2</cp:revision>
  <dcterms:created xsi:type="dcterms:W3CDTF">2013-05-15T14:59:00Z</dcterms:created>
  <dcterms:modified xsi:type="dcterms:W3CDTF">2013-05-15T14:59:00Z</dcterms:modified>
  <cp:category/>
</cp:coreProperties>
</file>