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DFA" w:rsidRDefault="00FC36B4">
      <w:hyperlink r:id="rId7" w:history="1">
        <w:r w:rsidRPr="0040274D">
          <w:rPr>
            <w:rStyle w:val="Hyperlink"/>
          </w:rPr>
          <w:t>http://www.businessinsurance.com/article/20140619/STORY/140619768/PERSPECTIVES-Ongoing-Ukrainian-crisis-highlights-role-of-political-risk-insuran</w:t>
        </w:r>
      </w:hyperlink>
      <w:r>
        <w:t xml:space="preserve"> </w:t>
      </w:r>
    </w:p>
    <w:p w:rsidR="00D6395E" w:rsidRPr="00D6395E" w:rsidRDefault="00D6395E" w:rsidP="00D6395E">
      <w:pPr>
        <w:shd w:val="clear" w:color="auto" w:fill="FFFFFF"/>
        <w:spacing w:before="100" w:beforeAutospacing="1" w:after="100" w:afterAutospacing="1" w:line="240" w:lineRule="auto"/>
        <w:outlineLvl w:val="1"/>
        <w:rPr>
          <w:rFonts w:ascii="Arial" w:eastAsia="Times New Roman" w:hAnsi="Arial" w:cs="Arial"/>
          <w:sz w:val="36"/>
          <w:szCs w:val="36"/>
        </w:rPr>
      </w:pPr>
      <w:r w:rsidRPr="00D6395E">
        <w:rPr>
          <w:rFonts w:ascii="Arial" w:eastAsia="Times New Roman" w:hAnsi="Arial" w:cs="Arial"/>
          <w:sz w:val="36"/>
          <w:szCs w:val="36"/>
        </w:rPr>
        <w:t>PERSPECTIVES: Ongoing Ukrainian crisis highlights role of political risk insurance</w:t>
      </w:r>
    </w:p>
    <w:p w:rsidR="00D6395E" w:rsidRPr="00D6395E" w:rsidRDefault="00D6395E" w:rsidP="00D6395E">
      <w:pPr>
        <w:shd w:val="clear" w:color="auto" w:fill="FFFFFF"/>
        <w:spacing w:before="100" w:beforeAutospacing="1" w:after="100" w:afterAutospacing="1" w:line="360" w:lineRule="atLeast"/>
        <w:rPr>
          <w:rFonts w:ascii="Source Sans Pro" w:eastAsia="Times New Roman" w:hAnsi="Source Sans Pro" w:cs="Arial"/>
          <w:color w:val="000000"/>
          <w:sz w:val="24"/>
          <w:szCs w:val="24"/>
        </w:rPr>
      </w:pPr>
      <w:r w:rsidRPr="00D6395E">
        <w:rPr>
          <w:rFonts w:ascii="Source Sans Pro" w:eastAsia="Times New Roman" w:hAnsi="Source Sans Pro" w:cs="Arial"/>
          <w:color w:val="000000"/>
          <w:sz w:val="24"/>
          <w:szCs w:val="24"/>
        </w:rPr>
        <w:t xml:space="preserve">Kirk Pasich and John Heintz </w:t>
      </w:r>
    </w:p>
    <w:p w:rsidR="00D6395E" w:rsidRPr="00D6395E" w:rsidRDefault="00D6395E" w:rsidP="00D6395E">
      <w:pPr>
        <w:shd w:val="clear" w:color="auto" w:fill="FFFFFF"/>
        <w:spacing w:after="0" w:line="240" w:lineRule="auto"/>
        <w:rPr>
          <w:rFonts w:ascii="Source Sans Pro" w:eastAsia="Times New Roman" w:hAnsi="Source Sans Pro" w:cs="Arial"/>
          <w:sz w:val="21"/>
          <w:szCs w:val="21"/>
        </w:rPr>
      </w:pPr>
      <w:r w:rsidRPr="00D6395E">
        <w:rPr>
          <w:rFonts w:ascii="Source Sans Pro" w:eastAsia="Times New Roman" w:hAnsi="Source Sans Pro" w:cs="Arial"/>
          <w:sz w:val="21"/>
          <w:szCs w:val="21"/>
        </w:rPr>
        <w:t>6/19/2014 12:00:00 AM</w:t>
      </w:r>
    </w:p>
    <w:p w:rsidR="00D6395E" w:rsidRPr="00D6395E" w:rsidRDefault="00D6395E" w:rsidP="00D6395E">
      <w:pPr>
        <w:shd w:val="clear" w:color="auto" w:fill="FFFFFF"/>
        <w:spacing w:after="0" w:line="240" w:lineRule="auto"/>
        <w:jc w:val="right"/>
        <w:rPr>
          <w:rFonts w:ascii="Source Sans Pro" w:eastAsia="Times New Roman" w:hAnsi="Source Sans Pro" w:cs="Arial"/>
          <w:sz w:val="21"/>
          <w:szCs w:val="21"/>
        </w:rPr>
      </w:pPr>
      <w:hyperlink r:id="rId8" w:history="1">
        <w:r w:rsidRPr="00D6395E">
          <w:rPr>
            <w:rFonts w:ascii="Source Sans Pro" w:eastAsia="Times New Roman" w:hAnsi="Source Sans Pro" w:cs="Times New Roman"/>
            <w:color w:val="0078A5"/>
            <w:sz w:val="21"/>
            <w:szCs w:val="21"/>
            <w:shd w:val="clear" w:color="auto" w:fill="F2F2F2"/>
          </w:rPr>
          <w:t>Russia</w:t>
        </w:r>
      </w:hyperlink>
      <w:r w:rsidRPr="00D6395E">
        <w:rPr>
          <w:rFonts w:ascii="Source Sans Pro" w:eastAsia="Times New Roman" w:hAnsi="Source Sans Pro" w:cs="Arial"/>
          <w:sz w:val="21"/>
          <w:szCs w:val="21"/>
        </w:rPr>
        <w:t xml:space="preserve"> </w:t>
      </w:r>
      <w:hyperlink r:id="rId9" w:history="1">
        <w:r w:rsidRPr="00D6395E">
          <w:rPr>
            <w:rFonts w:ascii="Source Sans Pro" w:eastAsia="Times New Roman" w:hAnsi="Source Sans Pro" w:cs="Times New Roman"/>
            <w:color w:val="0078A5"/>
            <w:sz w:val="21"/>
            <w:szCs w:val="21"/>
            <w:shd w:val="clear" w:color="auto" w:fill="F2F2F2"/>
          </w:rPr>
          <w:t>Political Risk</w:t>
        </w:r>
      </w:hyperlink>
      <w:r w:rsidRPr="00D6395E">
        <w:rPr>
          <w:rFonts w:ascii="Source Sans Pro" w:eastAsia="Times New Roman" w:hAnsi="Source Sans Pro" w:cs="Arial"/>
          <w:sz w:val="21"/>
          <w:szCs w:val="21"/>
        </w:rPr>
        <w:t xml:space="preserve"> </w:t>
      </w:r>
    </w:p>
    <w:p w:rsidR="00D6395E" w:rsidRDefault="00D6395E" w:rsidP="00D6395E">
      <w:pPr>
        <w:shd w:val="clear" w:color="auto" w:fill="FFFFFF"/>
        <w:spacing w:after="0" w:line="240" w:lineRule="auto"/>
        <w:rPr>
          <w:rFonts w:ascii="Source Sans Pro" w:eastAsia="Times New Roman" w:hAnsi="Source Sans Pro" w:cs="Arial"/>
          <w:sz w:val="21"/>
          <w:szCs w:val="21"/>
        </w:rPr>
      </w:pPr>
      <w:r w:rsidRPr="00D6395E">
        <w:rPr>
          <w:rFonts w:ascii="Source Sans Pro" w:eastAsia="Times New Roman" w:hAnsi="Source Sans Pro" w:cs="Arial"/>
          <w:noProof/>
          <w:sz w:val="21"/>
          <w:szCs w:val="21"/>
        </w:rPr>
        <w:drawing>
          <wp:inline distT="0" distB="0" distL="0" distR="0">
            <wp:extent cx="2809875" cy="2257425"/>
            <wp:effectExtent l="0" t="0" r="9525" b="9525"/>
            <wp:docPr id="1" name="Picture 1" descr="https://d2aijf0p2rhda8.cloudfront.net/ISSUE0401_140619768_AR_-1_IDQDCVSRSDX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aijf0p2rhda8.cloudfront.net/ISSUE0401_140619768_AR_-1_IDQDCVSRSDX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2257425"/>
                    </a:xfrm>
                    <a:prstGeom prst="rect">
                      <a:avLst/>
                    </a:prstGeom>
                    <a:noFill/>
                    <a:ln>
                      <a:noFill/>
                    </a:ln>
                  </pic:spPr>
                </pic:pic>
              </a:graphicData>
            </a:graphic>
          </wp:inline>
        </w:drawing>
      </w:r>
      <w:r w:rsidRPr="00D6395E">
        <w:rPr>
          <w:rFonts w:ascii="Source Sans Pro" w:eastAsia="Times New Roman" w:hAnsi="Source Sans Pro" w:cs="Arial"/>
          <w:sz w:val="21"/>
          <w:szCs w:val="21"/>
        </w:rPr>
        <w:t xml:space="preserve">Kirk Pasich, left, and John Heintz </w:t>
      </w:r>
    </w:p>
    <w:p w:rsidR="00F73F90" w:rsidRPr="00D6395E" w:rsidRDefault="00F73F90" w:rsidP="00D6395E">
      <w:pPr>
        <w:shd w:val="clear" w:color="auto" w:fill="FFFFFF"/>
        <w:spacing w:after="0" w:line="240" w:lineRule="auto"/>
        <w:rPr>
          <w:rFonts w:ascii="Source Sans Pro" w:eastAsia="Times New Roman" w:hAnsi="Source Sans Pro" w:cs="Arial"/>
          <w:sz w:val="21"/>
          <w:szCs w:val="21"/>
        </w:rPr>
      </w:pP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i/>
          <w:iCs/>
          <w:color w:val="000000"/>
          <w:sz w:val="24"/>
          <w:szCs w:val="24"/>
        </w:rPr>
        <w:t>The crisis in Ukraine and Russia highlights both the role of political risk insurance and the need to evaluate securing such insurance for companies doing business in other hot spots around the world. Kirk Pasich and John Heintz of Dickstein Shapiro L.L.P. discuss the benefits of buying political risk insurance, as well as the types of coverage available.</w:t>
      </w: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color w:val="000000"/>
          <w:sz w:val="24"/>
          <w:szCs w:val="24"/>
        </w:rPr>
        <w:t xml:space="preserve">Last November set off an escalating chain of events that has plunged Ukraine into a crisis that threatens to splinter the nation. Ukraine's then-president, Viktor Yanukovych, had rejected a trade deal with the European Union in favor of pursuing an economic deal with Russia. After protests forced Mr. Yanukovych from power, Russia seized Crimea and massed troops on Ukraine's eastern border. Pro-Russian protesters, in a number of cities in eastern Ukraine then seized government buildings, declared independence from Ukraine and urged Russia to come in. </w:t>
      </w: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color w:val="000000"/>
          <w:sz w:val="24"/>
          <w:szCs w:val="24"/>
        </w:rPr>
        <w:t xml:space="preserve">These developments have led the United States and the European Union to impose limited economic sanctions on certain Russian leaders and oligarchs, along with one Russian bank, Bank Rossiya. Russia has countered with similar sanctions. In addition, Russia sanctioned Lithuania after Lithuania condemned Russia's move into Crimea. These sanctions include an embargo of a </w:t>
      </w:r>
      <w:r w:rsidRPr="00D6395E">
        <w:rPr>
          <w:rFonts w:ascii="Source Sans Pro" w:eastAsia="Times New Roman" w:hAnsi="Source Sans Pro" w:cs="Arial"/>
          <w:color w:val="000000"/>
          <w:sz w:val="24"/>
          <w:szCs w:val="24"/>
        </w:rPr>
        <w:lastRenderedPageBreak/>
        <w:t>Lithuanian port to block delivery of U.S. and E.U. goods to Russia and other Customs Union countries.</w:t>
      </w: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color w:val="000000"/>
          <w:sz w:val="24"/>
          <w:szCs w:val="24"/>
        </w:rPr>
        <w:t>In June, Russia cut off natural gas deliveries to Ukraine over a longstanding dispute over delayed bill payments, and pockets of fighting continue to break out.</w:t>
      </w: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color w:val="000000"/>
          <w:sz w:val="24"/>
          <w:szCs w:val="24"/>
        </w:rPr>
        <w:t xml:space="preserve">The possibility that both sides will impose far more significant sanctions still looms. Wider sanctions pose a real threat to the economic interests of numerous U.S. and E.U. businesses conducting business in both Ukraine and Russia. Russia could retaliate against widened U.S./E.U. sanctions by taking a variety of actions that could adversely affect these companies. Such actions could include interfering with the performance of contracts, blocking the conversion of Russian earnings into U.S. dollars, and imposing additional trade embargos, as well as outright expropriation. </w:t>
      </w: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color w:val="000000"/>
          <w:sz w:val="24"/>
          <w:szCs w:val="24"/>
        </w:rPr>
        <w:t xml:space="preserve">Many of those companies may have political risk insurance, a specialty form of insurance designed to protect a company's assets, investments, or contractual rights in a foreign country against losses caused by a variety of foreign government actions. While underwriters have suspended issuing political risk insurance relating to Ukraine and Russia, the crisis highlights both the role of political risk insurance and the need to evaluate securing such insurance for companies doing business in other “hot” spots around the world. </w:t>
      </w: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color w:val="000000"/>
          <w:sz w:val="24"/>
          <w:szCs w:val="24"/>
        </w:rPr>
        <w:t>Political risk insurance has been available for some years from the Overseas Private Investment Corp. and the Multilateral Investment Guarantee Agency, a World Bank affiliate. These organizations insure investments in developing and other countries in order to facilitate such investment and economic growth. The private market for political risk insurance, provided by such insurers as American International Group Inc., Zurich Insurance Group Ltd., and Lloyd's of London, has seen significant growth in recent years. We discuss below the various types of political risk insurance, the markets for political risk insurance and certain issues unique to political risk insurance.</w:t>
      </w: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color w:val="000000"/>
          <w:sz w:val="24"/>
          <w:szCs w:val="24"/>
        </w:rPr>
        <w:t>Political risk refers to a wide range of risks, including some that may not come to mind when one thinks of political risks. The most common example of political risk is loss associated with political violence, a terrorist attack, or civil unrest, such as the losses that resulted from the terrorist attacks in Mumbai or the Arab Spring protests in Egypt and subsequent civil wars in Libya and Syria.</w:t>
      </w: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color w:val="000000"/>
          <w:sz w:val="24"/>
          <w:szCs w:val="24"/>
        </w:rPr>
        <w:t>Coverage for these types of losses is narrowly written and expensive. However, political risk also includes the risk that a host government may frustrate or repudiate a contract with an international company to build a facility for which the company expects a certain rate of return, or the risk that a foreign government may expropriate or confiscate assets.</w:t>
      </w: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color w:val="000000"/>
          <w:sz w:val="24"/>
          <w:szCs w:val="24"/>
        </w:rPr>
        <w:t xml:space="preserve">Political risk also includes the risk that a foreign government wrongfully calls a line of credit, or blocks currency conversion or the repatriation of funds. Political risk may also include the risk that a company's supply or distribution chain is disrupted due to export/import embargoes, such as the Russian embargo on Lithuania. Political risk insurance currently available in the marketplace, with variations, typically covers one or more of these risks. </w:t>
      </w: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color w:val="000000"/>
          <w:sz w:val="24"/>
          <w:szCs w:val="24"/>
        </w:rPr>
        <w:t>Political risk insurance can be obtained from public insurers, such as OPIC, MIGA, and the Export Credits Guarantee Department in the United Kingdom, or from private-market insurers, including the London market, Ace Ltd., Zurich North America, and the AIG group of insurers. The nature of the coverage and the policy forms and terms vary between the public and private markets, with advantages and disadvantages to both types.</w:t>
      </w: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color w:val="000000"/>
          <w:sz w:val="24"/>
          <w:szCs w:val="24"/>
        </w:rPr>
        <w:t>OPIC, ECGD, and MIGA, backed by the U.S. and U.K. governments and the World Bank, respectively, have eligibility requirements consistent with their investment and development objectives that may limit access to insurance:</w:t>
      </w: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color w:val="000000"/>
          <w:sz w:val="24"/>
          <w:szCs w:val="24"/>
        </w:rPr>
        <w:t>• OPIC requires that (1) the company must be a U.S. company, (2) the investment or project must be registered with OPIC before the company starts the investment or project, (3) the company must obtain the foreign government's approval of the insurance, (4) the project must take place in one of the countries that OPIC services, and (5) the project must not fall into one of OPIC's categorically prohibited sectors.</w:t>
      </w: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color w:val="000000"/>
          <w:sz w:val="24"/>
          <w:szCs w:val="24"/>
        </w:rPr>
        <w:t>• ECGD requires that (1) the company be conducting business in the United Kingdom and (2) the investment must be made in an enterprise outside of the United Kingdom.</w:t>
      </w: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color w:val="000000"/>
          <w:sz w:val="24"/>
          <w:szCs w:val="24"/>
        </w:rPr>
        <w:t>• MIGA requires that (1) the company making the investment be in a MIGA member country, (2) the investment be made in a MIGA member country, and (3) the proposed investment project must be economically viable, environmentally sound, and consistent with the labor standards and development objectives of the host country.</w:t>
      </w: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color w:val="000000"/>
          <w:sz w:val="24"/>
          <w:szCs w:val="24"/>
        </w:rPr>
        <w:t xml:space="preserve">Insurers in the private political risk insurance market are not backed by any governmental or international banking entity and do not have strict eligibility requirements imposed by those entities. Private-market insurers also have greater flexibility to tailor a policy to a company's specific needs or to offer coverage for risks that the public insurers do not insure. In fact, many private political risk underwriters typically “manuscript” their policies to address particular needs and situations. Many businesses also appreciate the fact that the purchase of private-market political risk insurance can be kept confidential, unlike policies issued from government or quasi-government providers. </w:t>
      </w: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color w:val="000000"/>
          <w:sz w:val="24"/>
          <w:szCs w:val="24"/>
        </w:rPr>
        <w:t>Obviously, what a political risk insurance policy covers depends on how the policy is drafted. Unlike other types of insurance policies, private political risk insurance policies are more likely to be tailored to the specific needs of the company purchasing the policy. Companies may also decide to mix and match coverage, obtaining coverage for certain investments with official providers and coverage for other projects with private providers. For example, if a company is opening a new hotel in a historically unstable region, it may consider purchasing political risk insurance to cover that region. Likewise, if a company is working with a government with whom it has not worked before on a particular project, it may want to insure just that project. Although political risk insurance is generally considered for work abroad, it may protect a company in its home country in the event of a terrorist attack or unfavorable actions by the government if drafted broadly enough. Because of these wide variations, the pricing of the policies will likely be dependent on the scope of the project, the length of the policy period and the risk associated with certain regions. Similarly, because of the specialized nature of these types of policies, it is important to review the policy terms to ensure the policy accurately reflects the scope of coverage sought.</w:t>
      </w: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b/>
          <w:bCs/>
          <w:color w:val="000000"/>
          <w:sz w:val="24"/>
          <w:szCs w:val="24"/>
        </w:rPr>
        <w:t>Arbitration clauses:</w:t>
      </w:r>
      <w:r w:rsidRPr="00D6395E">
        <w:rPr>
          <w:rFonts w:ascii="Source Sans Pro" w:eastAsia="Times New Roman" w:hAnsi="Source Sans Pro" w:cs="Arial"/>
          <w:color w:val="000000"/>
          <w:sz w:val="24"/>
          <w:szCs w:val="24"/>
        </w:rPr>
        <w:t xml:space="preserve"> Many political risk policies contain a mandatory arbitration provision applicable to any dispute arising under the policy, while some policies allow for litigation in the U.S. Arbitration has both advantages and disadvantages that a company should weigh when considering political risk insurance containing a mandatory arbitration provision. </w:t>
      </w: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b/>
          <w:bCs/>
          <w:color w:val="000000"/>
          <w:sz w:val="24"/>
          <w:szCs w:val="24"/>
        </w:rPr>
        <w:t xml:space="preserve">Choice of law clauses: </w:t>
      </w:r>
      <w:r w:rsidRPr="00D6395E">
        <w:rPr>
          <w:rFonts w:ascii="Source Sans Pro" w:eastAsia="Times New Roman" w:hAnsi="Source Sans Pro" w:cs="Arial"/>
          <w:color w:val="000000"/>
          <w:sz w:val="24"/>
          <w:szCs w:val="24"/>
        </w:rPr>
        <w:t>Most political risk policies have choice of law clauses, often designating the laws of England as the controlling law. English law differs in various respects from the laws of many U.S. states and should be carefully considered.</w:t>
      </w: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b/>
          <w:bCs/>
          <w:color w:val="000000"/>
          <w:sz w:val="24"/>
          <w:szCs w:val="24"/>
        </w:rPr>
        <w:t xml:space="preserve">Notice provisions: </w:t>
      </w:r>
      <w:r w:rsidRPr="00D6395E">
        <w:rPr>
          <w:rFonts w:ascii="Source Sans Pro" w:eastAsia="Times New Roman" w:hAnsi="Source Sans Pro" w:cs="Arial"/>
          <w:color w:val="000000"/>
          <w:sz w:val="24"/>
          <w:szCs w:val="24"/>
        </w:rPr>
        <w:t>Most political risk policies contain a provision requiring that the insured immediately provide notice to the insurer upon the occurrence of any event likely to give rise to a claim under the policy. Because notice is typically identified as a condition precedent to coverage, political risk insurers often will attempt to deny coverage if the insured does not fully comply with a notice provision. For this reason, it is crucial that insureds provide notice as soon as possible and comply with the explicit terms of their policies, including providing notice in the proper medium and through the designated party. That being said, although courts may enforce notice provisions as a condition to coverage, in some jurisdictions an insured’s failure to give timely notice may not bar coverage if the insurer is not prejudiced by the late notice.</w:t>
      </w: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b/>
          <w:bCs/>
          <w:color w:val="000000"/>
          <w:sz w:val="24"/>
          <w:szCs w:val="24"/>
        </w:rPr>
        <w:t xml:space="preserve">Disclosure requirements: </w:t>
      </w:r>
      <w:r w:rsidRPr="00D6395E">
        <w:rPr>
          <w:rFonts w:ascii="Source Sans Pro" w:eastAsia="Times New Roman" w:hAnsi="Source Sans Pro" w:cs="Arial"/>
          <w:color w:val="000000"/>
          <w:sz w:val="24"/>
          <w:szCs w:val="24"/>
        </w:rPr>
        <w:t xml:space="preserve">Political risk insurance policies also typically impose a continuing obligation on the insured to disclose certain information to the insurer not only prior to the policy’s inception but on a continuing basis thereafter. One such disclosure requirement may be that the insured had no knowledge at the policy’s inception of any circumstance that could give rise to a loss under the policy. If an insured does not satisfy a disclosure obligation, the insurer may seek to void or rescind the policy ab initio. Companies should communicate clearly and openly with underwriters during the negotiation of any political risk policy and following placement to ensure that disclosure obligations are being met. </w:t>
      </w: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b/>
          <w:bCs/>
          <w:color w:val="000000"/>
          <w:sz w:val="24"/>
          <w:szCs w:val="24"/>
        </w:rPr>
        <w:t>Mitigation or due diligence:</w:t>
      </w:r>
      <w:r w:rsidRPr="00D6395E">
        <w:rPr>
          <w:rFonts w:ascii="Source Sans Pro" w:eastAsia="Times New Roman" w:hAnsi="Source Sans Pro" w:cs="Arial"/>
          <w:color w:val="000000"/>
          <w:sz w:val="24"/>
          <w:szCs w:val="24"/>
        </w:rPr>
        <w:t xml:space="preserve"> An insured also should be aware that many political risk policies contain a due diligence clause requiring the insured to do everything “reasonably practicable” to protect or remove insured property and to avoid or diminish any potential loss in the event of a political situation. Some policies require the insured to take steps to mitigate its loss. In conjunction with some coverages, some policies impose a “waiting period” during which the insured must make a diligent effort to enforce its rights and seek available remedies before the insurer becomes obligated to pay a claim. The due diligence requirement in a political risk policy requires the insured to take only “reasonable” efforts to minimize the loss. Thus, an insured is not required to undertake measures that would be impractical or futile, beyond the insured’s financial means, or otherwise unreasonable under the circumstances. </w:t>
      </w: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i/>
          <w:iCs/>
          <w:color w:val="000000"/>
          <w:sz w:val="24"/>
          <w:szCs w:val="24"/>
        </w:rPr>
        <w:t xml:space="preserve">Kirk A. Pasich is the client strategy leader of Dickstein Shapiro L.L.P.’s insurance coverage practice and leader of its political risk insurance practice. He can be reached at </w:t>
      </w:r>
      <w:hyperlink r:id="rId11" w:history="1">
        <w:r w:rsidRPr="00D6395E">
          <w:rPr>
            <w:rFonts w:ascii="Source Sans Pro" w:eastAsia="Times New Roman" w:hAnsi="Source Sans Pro" w:cs="Times New Roman"/>
            <w:i/>
            <w:iCs/>
            <w:color w:val="0078A5"/>
            <w:sz w:val="24"/>
            <w:szCs w:val="24"/>
          </w:rPr>
          <w:t>pasichk@dicksteinshapiro.com</w:t>
        </w:r>
      </w:hyperlink>
      <w:r w:rsidRPr="00D6395E">
        <w:rPr>
          <w:rFonts w:ascii="Source Sans Pro" w:eastAsia="Times New Roman" w:hAnsi="Source Sans Pro" w:cs="Arial"/>
          <w:i/>
          <w:iCs/>
          <w:color w:val="000000"/>
          <w:sz w:val="24"/>
          <w:szCs w:val="24"/>
        </w:rPr>
        <w:t xml:space="preserve"> or (310) 772-8305.</w:t>
      </w:r>
    </w:p>
    <w:p w:rsidR="00D6395E" w:rsidRPr="00D6395E" w:rsidRDefault="00D6395E" w:rsidP="00D6395E">
      <w:pPr>
        <w:shd w:val="clear" w:color="auto" w:fill="FFFFFF"/>
        <w:spacing w:after="150" w:line="360" w:lineRule="auto"/>
        <w:rPr>
          <w:rFonts w:ascii="Source Sans Pro" w:eastAsia="Times New Roman" w:hAnsi="Source Sans Pro" w:cs="Arial"/>
          <w:color w:val="000000"/>
          <w:sz w:val="24"/>
          <w:szCs w:val="24"/>
        </w:rPr>
      </w:pPr>
      <w:r w:rsidRPr="00D6395E">
        <w:rPr>
          <w:rFonts w:ascii="Source Sans Pro" w:eastAsia="Times New Roman" w:hAnsi="Source Sans Pro" w:cs="Arial"/>
          <w:i/>
          <w:iCs/>
          <w:color w:val="000000"/>
          <w:sz w:val="24"/>
          <w:szCs w:val="24"/>
        </w:rPr>
        <w:t xml:space="preserve">John E. Heintz is Dickstein Shapiro L.L.P.’s insurance coverage practice leader. He can be reached at </w:t>
      </w:r>
      <w:hyperlink r:id="rId12" w:history="1">
        <w:r w:rsidRPr="00D6395E">
          <w:rPr>
            <w:rFonts w:ascii="Source Sans Pro" w:eastAsia="Times New Roman" w:hAnsi="Source Sans Pro" w:cs="Times New Roman"/>
            <w:i/>
            <w:iCs/>
            <w:color w:val="0078A5"/>
            <w:sz w:val="24"/>
            <w:szCs w:val="24"/>
          </w:rPr>
          <w:t>heintzj@dicksteinshapiro.com</w:t>
        </w:r>
      </w:hyperlink>
      <w:r w:rsidRPr="00D6395E">
        <w:rPr>
          <w:rFonts w:ascii="Source Sans Pro" w:eastAsia="Times New Roman" w:hAnsi="Source Sans Pro" w:cs="Arial"/>
          <w:i/>
          <w:iCs/>
          <w:color w:val="000000"/>
          <w:sz w:val="24"/>
          <w:szCs w:val="24"/>
        </w:rPr>
        <w:t xml:space="preserve"> or (202) 420-5373.</w:t>
      </w:r>
    </w:p>
    <w:p w:rsidR="00D6395E" w:rsidRDefault="00D6395E"/>
    <w:sectPr w:rsidR="00D6395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E96" w:rsidRDefault="00FA5E96" w:rsidP="008C2FBC">
      <w:pPr>
        <w:spacing w:after="0" w:line="240" w:lineRule="auto"/>
      </w:pPr>
      <w:r>
        <w:separator/>
      </w:r>
    </w:p>
  </w:endnote>
  <w:endnote w:type="continuationSeparator" w:id="0">
    <w:p w:rsidR="00FA5E96" w:rsidRDefault="00FA5E96" w:rsidP="008C2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FBC" w:rsidRDefault="008C2F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934897"/>
      <w:docPartObj>
        <w:docPartGallery w:val="Page Numbers (Bottom of Page)"/>
        <w:docPartUnique/>
      </w:docPartObj>
    </w:sdtPr>
    <w:sdtEndPr>
      <w:rPr>
        <w:noProof/>
      </w:rPr>
    </w:sdtEndPr>
    <w:sdtContent>
      <w:bookmarkStart w:id="0" w:name="_GoBack" w:displacedByCustomXml="prev"/>
      <w:bookmarkEnd w:id="0" w:displacedByCustomXml="prev"/>
      <w:p w:rsidR="008C2FBC" w:rsidRDefault="008C2FBC">
        <w:pPr>
          <w:pStyle w:val="Footer"/>
          <w:jc w:val="center"/>
        </w:pPr>
        <w:r>
          <w:fldChar w:fldCharType="begin"/>
        </w:r>
        <w:r>
          <w:instrText xml:space="preserve"> PAGE   \* MERGEFORMAT </w:instrText>
        </w:r>
        <w:r>
          <w:fldChar w:fldCharType="separate"/>
        </w:r>
        <w:r w:rsidR="00FA5E96">
          <w:rPr>
            <w:noProof/>
          </w:rPr>
          <w:t>1</w:t>
        </w:r>
        <w:r>
          <w:rPr>
            <w:noProof/>
          </w:rPr>
          <w:fldChar w:fldCharType="end"/>
        </w:r>
      </w:p>
    </w:sdtContent>
  </w:sdt>
  <w:p w:rsidR="008C2FBC" w:rsidRDefault="008C2F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FBC" w:rsidRDefault="008C2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E96" w:rsidRDefault="00FA5E96" w:rsidP="008C2FBC">
      <w:pPr>
        <w:spacing w:after="0" w:line="240" w:lineRule="auto"/>
      </w:pPr>
      <w:r>
        <w:separator/>
      </w:r>
    </w:p>
  </w:footnote>
  <w:footnote w:type="continuationSeparator" w:id="0">
    <w:p w:rsidR="00FA5E96" w:rsidRDefault="00FA5E96" w:rsidP="008C2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FBC" w:rsidRDefault="008C2F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FBC" w:rsidRDefault="008C2F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FBC" w:rsidRDefault="008C2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B6450"/>
    <w:multiLevelType w:val="multilevel"/>
    <w:tmpl w:val="4CAC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4328C"/>
    <w:multiLevelType w:val="multilevel"/>
    <w:tmpl w:val="BEF0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A1410C"/>
    <w:multiLevelType w:val="multilevel"/>
    <w:tmpl w:val="4C78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5E"/>
    <w:rsid w:val="00087059"/>
    <w:rsid w:val="000D2E81"/>
    <w:rsid w:val="000E6813"/>
    <w:rsid w:val="00120716"/>
    <w:rsid w:val="001413B1"/>
    <w:rsid w:val="001947CB"/>
    <w:rsid w:val="001F59E1"/>
    <w:rsid w:val="002804C7"/>
    <w:rsid w:val="003229C8"/>
    <w:rsid w:val="003D3676"/>
    <w:rsid w:val="003F6779"/>
    <w:rsid w:val="00417D01"/>
    <w:rsid w:val="0043532A"/>
    <w:rsid w:val="00453F85"/>
    <w:rsid w:val="004C4F8A"/>
    <w:rsid w:val="004E578D"/>
    <w:rsid w:val="004F0175"/>
    <w:rsid w:val="0051504E"/>
    <w:rsid w:val="00537B9F"/>
    <w:rsid w:val="005706B0"/>
    <w:rsid w:val="00573A3F"/>
    <w:rsid w:val="00592DFA"/>
    <w:rsid w:val="005B7740"/>
    <w:rsid w:val="005C7333"/>
    <w:rsid w:val="0063729D"/>
    <w:rsid w:val="00683094"/>
    <w:rsid w:val="006A5AB0"/>
    <w:rsid w:val="006D3782"/>
    <w:rsid w:val="00703CD8"/>
    <w:rsid w:val="007562D0"/>
    <w:rsid w:val="0079127C"/>
    <w:rsid w:val="00794096"/>
    <w:rsid w:val="007A55F2"/>
    <w:rsid w:val="007E6F7A"/>
    <w:rsid w:val="008A6212"/>
    <w:rsid w:val="008C2FBC"/>
    <w:rsid w:val="00930A93"/>
    <w:rsid w:val="00950F72"/>
    <w:rsid w:val="009B7B82"/>
    <w:rsid w:val="009C3E37"/>
    <w:rsid w:val="00A07C2A"/>
    <w:rsid w:val="00A44E2B"/>
    <w:rsid w:val="00A46D38"/>
    <w:rsid w:val="00A56C2C"/>
    <w:rsid w:val="00A83FB2"/>
    <w:rsid w:val="00B955BE"/>
    <w:rsid w:val="00B96CCA"/>
    <w:rsid w:val="00BB7B13"/>
    <w:rsid w:val="00C03165"/>
    <w:rsid w:val="00C45969"/>
    <w:rsid w:val="00C5239E"/>
    <w:rsid w:val="00C5437A"/>
    <w:rsid w:val="00D03913"/>
    <w:rsid w:val="00D57F8C"/>
    <w:rsid w:val="00D61D28"/>
    <w:rsid w:val="00D6395E"/>
    <w:rsid w:val="00D8315A"/>
    <w:rsid w:val="00E416E4"/>
    <w:rsid w:val="00E80AF8"/>
    <w:rsid w:val="00E86416"/>
    <w:rsid w:val="00EA258F"/>
    <w:rsid w:val="00EB690D"/>
    <w:rsid w:val="00F106E7"/>
    <w:rsid w:val="00F327E6"/>
    <w:rsid w:val="00F33DAF"/>
    <w:rsid w:val="00F62BB8"/>
    <w:rsid w:val="00F705F5"/>
    <w:rsid w:val="00F73F90"/>
    <w:rsid w:val="00FA5E96"/>
    <w:rsid w:val="00FC36B4"/>
    <w:rsid w:val="00FD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06205-642C-4402-AED1-DAD8308A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6395E"/>
    <w:pPr>
      <w:spacing w:before="100" w:beforeAutospacing="1" w:after="100" w:afterAutospacing="1" w:line="240" w:lineRule="auto"/>
      <w:outlineLvl w:val="1"/>
    </w:pPr>
    <w:rPr>
      <w:rFonts w:ascii="Arial" w:eastAsia="Times New Roman"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395E"/>
    <w:rPr>
      <w:rFonts w:ascii="Arial" w:eastAsia="Times New Roman" w:hAnsi="Arial" w:cs="Arial"/>
      <w:sz w:val="36"/>
      <w:szCs w:val="36"/>
    </w:rPr>
  </w:style>
  <w:style w:type="character" w:styleId="Hyperlink">
    <w:name w:val="Hyperlink"/>
    <w:basedOn w:val="DefaultParagraphFont"/>
    <w:uiPriority w:val="99"/>
    <w:unhideWhenUsed/>
    <w:rsid w:val="00D6395E"/>
    <w:rPr>
      <w:strike w:val="0"/>
      <w:dstrike w:val="0"/>
      <w:color w:val="0078A5"/>
      <w:u w:val="none"/>
      <w:effect w:val="none"/>
    </w:rPr>
  </w:style>
  <w:style w:type="paragraph" w:customStyle="1" w:styleId="authorname">
    <w:name w:val="authorname"/>
    <w:basedOn w:val="Normal"/>
    <w:rsid w:val="00D6395E"/>
    <w:pPr>
      <w:spacing w:before="100" w:beforeAutospacing="1" w:after="100" w:afterAutospacing="1" w:line="360" w:lineRule="atLeast"/>
    </w:pPr>
    <w:rPr>
      <w:rFonts w:ascii="Times New Roman" w:eastAsia="Times New Roman" w:hAnsi="Times New Roman" w:cs="Times New Roman"/>
      <w:color w:val="000000"/>
      <w:sz w:val="24"/>
      <w:szCs w:val="24"/>
    </w:rPr>
  </w:style>
  <w:style w:type="character" w:customStyle="1" w:styleId="tags1">
    <w:name w:val="tags1"/>
    <w:basedOn w:val="DefaultParagraphFont"/>
    <w:rsid w:val="00D6395E"/>
    <w:rPr>
      <w:color w:val="4D4D4D"/>
      <w:sz w:val="21"/>
      <w:szCs w:val="21"/>
      <w:shd w:val="clear" w:color="auto" w:fill="F2F2F2"/>
    </w:rPr>
  </w:style>
  <w:style w:type="character" w:customStyle="1" w:styleId="articletools1">
    <w:name w:val="articletools1"/>
    <w:basedOn w:val="DefaultParagraphFont"/>
    <w:rsid w:val="00D6395E"/>
  </w:style>
  <w:style w:type="character" w:customStyle="1" w:styleId="autorbox">
    <w:name w:val="autorbox"/>
    <w:basedOn w:val="DefaultParagraphFont"/>
    <w:rsid w:val="00D6395E"/>
  </w:style>
  <w:style w:type="character" w:styleId="Emphasis">
    <w:name w:val="Emphasis"/>
    <w:basedOn w:val="DefaultParagraphFont"/>
    <w:uiPriority w:val="20"/>
    <w:qFormat/>
    <w:rsid w:val="00D6395E"/>
    <w:rPr>
      <w:i/>
      <w:iCs/>
    </w:rPr>
  </w:style>
  <w:style w:type="character" w:styleId="Strong">
    <w:name w:val="Strong"/>
    <w:basedOn w:val="DefaultParagraphFont"/>
    <w:uiPriority w:val="22"/>
    <w:qFormat/>
    <w:rsid w:val="00D6395E"/>
    <w:rPr>
      <w:b/>
      <w:bCs/>
    </w:rPr>
  </w:style>
  <w:style w:type="paragraph" w:styleId="Header">
    <w:name w:val="header"/>
    <w:basedOn w:val="Normal"/>
    <w:link w:val="HeaderChar"/>
    <w:uiPriority w:val="99"/>
    <w:unhideWhenUsed/>
    <w:rsid w:val="008C2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FBC"/>
  </w:style>
  <w:style w:type="paragraph" w:styleId="Footer">
    <w:name w:val="footer"/>
    <w:basedOn w:val="Normal"/>
    <w:link w:val="FooterChar"/>
    <w:uiPriority w:val="99"/>
    <w:unhideWhenUsed/>
    <w:rsid w:val="008C2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11011">
      <w:bodyDiv w:val="1"/>
      <w:marLeft w:val="0"/>
      <w:marRight w:val="0"/>
      <w:marTop w:val="0"/>
      <w:marBottom w:val="0"/>
      <w:divBdr>
        <w:top w:val="none" w:sz="0" w:space="0" w:color="auto"/>
        <w:left w:val="none" w:sz="0" w:space="0" w:color="auto"/>
        <w:bottom w:val="none" w:sz="0" w:space="0" w:color="auto"/>
        <w:right w:val="none" w:sz="0" w:space="0" w:color="auto"/>
      </w:divBdr>
      <w:divsChild>
        <w:div w:id="674504650">
          <w:marLeft w:val="0"/>
          <w:marRight w:val="0"/>
          <w:marTop w:val="0"/>
          <w:marBottom w:val="0"/>
          <w:divBdr>
            <w:top w:val="none" w:sz="0" w:space="0" w:color="auto"/>
            <w:left w:val="none" w:sz="0" w:space="0" w:color="auto"/>
            <w:bottom w:val="none" w:sz="0" w:space="0" w:color="auto"/>
            <w:right w:val="none" w:sz="0" w:space="0" w:color="auto"/>
          </w:divBdr>
          <w:divsChild>
            <w:div w:id="937711461">
              <w:marLeft w:val="0"/>
              <w:marRight w:val="0"/>
              <w:marTop w:val="0"/>
              <w:marBottom w:val="0"/>
              <w:divBdr>
                <w:top w:val="single" w:sz="6" w:space="3" w:color="CCCCCC"/>
                <w:left w:val="none" w:sz="0" w:space="0" w:color="auto"/>
                <w:bottom w:val="single" w:sz="6" w:space="5" w:color="CCCCCC"/>
                <w:right w:val="none" w:sz="0" w:space="0" w:color="auto"/>
              </w:divBdr>
            </w:div>
            <w:div w:id="756364623">
              <w:marLeft w:val="0"/>
              <w:marRight w:val="0"/>
              <w:marTop w:val="0"/>
              <w:marBottom w:val="0"/>
              <w:divBdr>
                <w:top w:val="none" w:sz="0" w:space="0" w:color="auto"/>
                <w:left w:val="none" w:sz="0" w:space="0" w:color="auto"/>
                <w:bottom w:val="none" w:sz="0" w:space="0" w:color="auto"/>
                <w:right w:val="none" w:sz="0" w:space="0" w:color="auto"/>
              </w:divBdr>
              <w:divsChild>
                <w:div w:id="849294581">
                  <w:marLeft w:val="0"/>
                  <w:marRight w:val="0"/>
                  <w:marTop w:val="0"/>
                  <w:marBottom w:val="0"/>
                  <w:divBdr>
                    <w:top w:val="none" w:sz="0" w:space="0" w:color="auto"/>
                    <w:left w:val="none" w:sz="0" w:space="0" w:color="auto"/>
                    <w:bottom w:val="none" w:sz="0" w:space="0" w:color="auto"/>
                    <w:right w:val="none" w:sz="0" w:space="0" w:color="auto"/>
                  </w:divBdr>
                  <w:divsChild>
                    <w:div w:id="17702724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39341287">
              <w:marLeft w:val="0"/>
              <w:marRight w:val="0"/>
              <w:marTop w:val="0"/>
              <w:marBottom w:val="0"/>
              <w:divBdr>
                <w:top w:val="none" w:sz="0" w:space="0" w:color="auto"/>
                <w:left w:val="none" w:sz="0" w:space="0" w:color="auto"/>
                <w:bottom w:val="none" w:sz="0" w:space="0" w:color="auto"/>
                <w:right w:val="none" w:sz="0" w:space="0" w:color="auto"/>
              </w:divBdr>
              <w:divsChild>
                <w:div w:id="168065485">
                  <w:marLeft w:val="0"/>
                  <w:marRight w:val="0"/>
                  <w:marTop w:val="0"/>
                  <w:marBottom w:val="0"/>
                  <w:divBdr>
                    <w:top w:val="none" w:sz="0" w:space="0" w:color="auto"/>
                    <w:left w:val="none" w:sz="0" w:space="0" w:color="auto"/>
                    <w:bottom w:val="single" w:sz="6" w:space="0" w:color="CCCCCC"/>
                    <w:right w:val="none" w:sz="0" w:space="0" w:color="auto"/>
                  </w:divBdr>
                </w:div>
                <w:div w:id="337971897">
                  <w:marLeft w:val="0"/>
                  <w:marRight w:val="0"/>
                  <w:marTop w:val="0"/>
                  <w:marBottom w:val="0"/>
                  <w:divBdr>
                    <w:top w:val="none" w:sz="0" w:space="0" w:color="auto"/>
                    <w:left w:val="none" w:sz="0" w:space="0" w:color="auto"/>
                    <w:bottom w:val="none" w:sz="0" w:space="0" w:color="auto"/>
                    <w:right w:val="none" w:sz="0" w:space="0" w:color="auto"/>
                  </w:divBdr>
                  <w:divsChild>
                    <w:div w:id="505171226">
                      <w:marLeft w:val="0"/>
                      <w:marRight w:val="0"/>
                      <w:marTop w:val="0"/>
                      <w:marBottom w:val="0"/>
                      <w:divBdr>
                        <w:top w:val="none" w:sz="0" w:space="0" w:color="auto"/>
                        <w:left w:val="none" w:sz="0" w:space="0" w:color="auto"/>
                        <w:bottom w:val="none" w:sz="0" w:space="0" w:color="auto"/>
                        <w:right w:val="single" w:sz="6" w:space="8" w:color="CCCCCC"/>
                      </w:divBdr>
                    </w:div>
                    <w:div w:id="1986274107">
                      <w:marLeft w:val="0"/>
                      <w:marRight w:val="0"/>
                      <w:marTop w:val="0"/>
                      <w:marBottom w:val="0"/>
                      <w:divBdr>
                        <w:top w:val="none" w:sz="0" w:space="0" w:color="auto"/>
                        <w:left w:val="none" w:sz="0" w:space="0" w:color="auto"/>
                        <w:bottom w:val="none" w:sz="0" w:space="0" w:color="auto"/>
                        <w:right w:val="single" w:sz="6" w:space="8"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urance.com/Section/Topics/17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usinessinsurance.com/article/20140619/STORY/140619768/PERSPECTIVES-Ongoing-Ukrainian-crisis-highlights-role-of-political-risk-insuran" TargetMode="External"/><Relationship Id="rId12" Type="http://schemas.openxmlformats.org/officeDocument/2006/relationships/hyperlink" Target="mailto:heintzj@dicksteinshapiro.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sichk@dicksteinshapir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inessinsurance.com/Section/Topics/31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1856</Words>
  <Characters>10580</Characters>
  <Application>Microsoft Office Word</Application>
  <DocSecurity>0</DocSecurity>
  <Lines>88</Lines>
  <Paragraphs>24</Paragraphs>
  <ScaleCrop>false</ScaleCrop>
  <Company/>
  <LinksUpToDate>false</LinksUpToDate>
  <CharactersWithSpaces>12412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Iankova</dc:creator>
  <cp:keywords/>
  <dc:description/>
  <cp:lastModifiedBy>Elena Iankova</cp:lastModifiedBy>
  <cp:revision>4</cp:revision>
  <dcterms:created xsi:type="dcterms:W3CDTF">2017-02-12T20:36:00Z</dcterms:created>
  <dcterms:modified xsi:type="dcterms:W3CDTF">2017-02-12T20:38:00Z</dcterms:modified>
</cp:coreProperties>
</file>