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B5D9A" w14:textId="77777777" w:rsidR="0001163C" w:rsidRDefault="0001163C" w:rsidP="0001163C">
      <w:pPr>
        <w:widowControl w:val="0"/>
        <w:autoSpaceDE w:val="0"/>
        <w:autoSpaceDN w:val="0"/>
        <w:adjustRightInd w:val="0"/>
        <w:rPr>
          <w:rFonts w:ascii="LatoLatin-Light" w:hAnsi="LatoLatin-Light" w:cs="LatoLatin-Light"/>
          <w:color w:val="535353"/>
          <w:sz w:val="70"/>
          <w:szCs w:val="70"/>
        </w:rPr>
      </w:pPr>
      <w:r>
        <w:rPr>
          <w:rFonts w:ascii="LatoLatin-Light" w:hAnsi="LatoLatin-Light" w:cs="LatoLatin-Light"/>
          <w:color w:val="535353"/>
          <w:sz w:val="70"/>
          <w:szCs w:val="70"/>
        </w:rPr>
        <w:t>Synthesis Paper guidelines</w:t>
      </w:r>
    </w:p>
    <w:p w14:paraId="64928FE5" w14:textId="77777777" w:rsidR="0001163C" w:rsidRDefault="0001163C" w:rsidP="0001163C">
      <w:pPr>
        <w:widowControl w:val="0"/>
        <w:autoSpaceDE w:val="0"/>
        <w:autoSpaceDN w:val="0"/>
        <w:adjustRightInd w:val="0"/>
        <w:rPr>
          <w:rFonts w:ascii="LatoLatin-Regular" w:hAnsi="LatoLatin-Regular" w:cs="LatoLatin-Regular"/>
          <w:color w:val="222D35"/>
          <w:sz w:val="28"/>
          <w:szCs w:val="28"/>
        </w:rPr>
      </w:pPr>
      <w:r>
        <w:rPr>
          <w:rFonts w:ascii="LatoLatin-Bold" w:hAnsi="LatoLatin-Bold" w:cs="LatoLatin-Bold"/>
          <w:b/>
          <w:bCs/>
          <w:color w:val="222D35"/>
          <w:sz w:val="28"/>
          <w:szCs w:val="28"/>
        </w:rPr>
        <w:t xml:space="preserve">Due Date: </w:t>
      </w:r>
      <w:r>
        <w:rPr>
          <w:rFonts w:ascii="LatoLatin-Regular" w:hAnsi="LatoLatin-Regular" w:cs="LatoLatin-Regular"/>
          <w:color w:val="222D35"/>
          <w:sz w:val="28"/>
          <w:szCs w:val="28"/>
        </w:rPr>
        <w:t>This paper is due to Canvas by Friday (11:59 pm) of Week 7.</w:t>
      </w:r>
    </w:p>
    <w:p w14:paraId="65A731CF" w14:textId="77777777" w:rsidR="0001163C" w:rsidRDefault="0001163C" w:rsidP="0001163C">
      <w:pPr>
        <w:widowControl w:val="0"/>
        <w:autoSpaceDE w:val="0"/>
        <w:autoSpaceDN w:val="0"/>
        <w:adjustRightInd w:val="0"/>
        <w:rPr>
          <w:rFonts w:ascii="LatoLatin-Regular" w:hAnsi="LatoLatin-Regular" w:cs="LatoLatin-Regular"/>
          <w:color w:val="222D35"/>
          <w:sz w:val="28"/>
          <w:szCs w:val="28"/>
        </w:rPr>
      </w:pPr>
      <w:r>
        <w:rPr>
          <w:rFonts w:ascii="LatoLatin-Bold" w:hAnsi="LatoLatin-Bold" w:cs="LatoLatin-Bold"/>
          <w:b/>
          <w:bCs/>
          <w:color w:val="222D35"/>
          <w:sz w:val="28"/>
          <w:szCs w:val="28"/>
        </w:rPr>
        <w:t>Length:</w:t>
      </w:r>
      <w:r>
        <w:rPr>
          <w:rFonts w:ascii="LatoLatin-Regular" w:hAnsi="LatoLatin-Regular" w:cs="LatoLatin-Regular"/>
          <w:color w:val="222D35"/>
          <w:sz w:val="28"/>
          <w:szCs w:val="28"/>
        </w:rPr>
        <w:t xml:space="preserve"> The paper should be 1800–2000 words. Your works-cited page does not count towards the length requirement.</w:t>
      </w:r>
    </w:p>
    <w:p w14:paraId="5A2EC86F" w14:textId="77777777" w:rsidR="0001163C" w:rsidRDefault="0001163C" w:rsidP="0001163C">
      <w:pPr>
        <w:widowControl w:val="0"/>
        <w:autoSpaceDE w:val="0"/>
        <w:autoSpaceDN w:val="0"/>
        <w:adjustRightInd w:val="0"/>
        <w:rPr>
          <w:rFonts w:ascii="LatoLatin-Regular" w:hAnsi="LatoLatin-Regular" w:cs="LatoLatin-Regular"/>
          <w:color w:val="222D35"/>
          <w:sz w:val="28"/>
          <w:szCs w:val="28"/>
        </w:rPr>
      </w:pPr>
      <w:r>
        <w:rPr>
          <w:rFonts w:ascii="LatoLatin-Bold" w:hAnsi="LatoLatin-Bold" w:cs="LatoLatin-Bold"/>
          <w:b/>
          <w:bCs/>
          <w:color w:val="222D35"/>
          <w:sz w:val="28"/>
          <w:szCs w:val="28"/>
        </w:rPr>
        <w:t>Formatting</w:t>
      </w:r>
      <w:r>
        <w:rPr>
          <w:rFonts w:ascii="LatoLatin-Regular" w:hAnsi="LatoLatin-Regular" w:cs="LatoLatin-Regular"/>
          <w:color w:val="222D35"/>
          <w:sz w:val="28"/>
          <w:szCs w:val="28"/>
        </w:rPr>
        <w:t xml:space="preserve">: </w:t>
      </w:r>
      <w:proofErr w:type="gramStart"/>
      <w:r>
        <w:rPr>
          <w:rFonts w:ascii="LatoLatin-Regular" w:hAnsi="LatoLatin-Regular" w:cs="LatoLatin-Regular"/>
          <w:color w:val="222D35"/>
          <w:sz w:val="28"/>
          <w:szCs w:val="28"/>
        </w:rPr>
        <w:t>Double space</w:t>
      </w:r>
      <w:proofErr w:type="gramEnd"/>
      <w:r>
        <w:rPr>
          <w:rFonts w:ascii="LatoLatin-Regular" w:hAnsi="LatoLatin-Regular" w:cs="LatoLatin-Regular"/>
          <w:color w:val="222D35"/>
          <w:sz w:val="28"/>
          <w:szCs w:val="28"/>
        </w:rPr>
        <w:t xml:space="preserve"> the entire paper. </w:t>
      </w:r>
      <w:proofErr w:type="gramStart"/>
      <w:r>
        <w:rPr>
          <w:rFonts w:ascii="LatoLatin-Regular" w:hAnsi="LatoLatin-Regular" w:cs="LatoLatin-Regular"/>
          <w:color w:val="222D35"/>
          <w:sz w:val="28"/>
          <w:szCs w:val="28"/>
        </w:rPr>
        <w:t>Use Times New Roman (12 pt. font) and 1-inch margins.</w:t>
      </w:r>
      <w:proofErr w:type="gramEnd"/>
    </w:p>
    <w:p w14:paraId="4FCC3C4A" w14:textId="77777777" w:rsidR="0001163C" w:rsidRDefault="0001163C" w:rsidP="0001163C">
      <w:pPr>
        <w:widowControl w:val="0"/>
        <w:autoSpaceDE w:val="0"/>
        <w:autoSpaceDN w:val="0"/>
        <w:adjustRightInd w:val="0"/>
        <w:rPr>
          <w:rFonts w:ascii="LatoLatin-Regular" w:hAnsi="LatoLatin-Regular" w:cs="LatoLatin-Regular"/>
          <w:color w:val="222D35"/>
          <w:sz w:val="28"/>
          <w:szCs w:val="28"/>
        </w:rPr>
      </w:pPr>
      <w:r>
        <w:rPr>
          <w:rFonts w:ascii="LatoLatin-Bold" w:hAnsi="LatoLatin-Bold" w:cs="LatoLatin-Bold"/>
          <w:b/>
          <w:bCs/>
          <w:color w:val="222D35"/>
          <w:sz w:val="28"/>
          <w:szCs w:val="28"/>
        </w:rPr>
        <w:t>Citation Style:</w:t>
      </w:r>
      <w:r>
        <w:rPr>
          <w:rFonts w:ascii="LatoLatin-Regular" w:hAnsi="LatoLatin-Regular" w:cs="LatoLatin-Regular"/>
          <w:color w:val="222D35"/>
          <w:sz w:val="28"/>
          <w:szCs w:val="28"/>
        </w:rPr>
        <w:t xml:space="preserve"> For writing about literature, MLA is the recognized citation style. Use it!</w:t>
      </w:r>
    </w:p>
    <w:p w14:paraId="6931C749" w14:textId="77777777" w:rsidR="0001163C" w:rsidRDefault="0001163C" w:rsidP="0001163C">
      <w:pPr>
        <w:widowControl w:val="0"/>
        <w:autoSpaceDE w:val="0"/>
        <w:autoSpaceDN w:val="0"/>
        <w:adjustRightInd w:val="0"/>
        <w:rPr>
          <w:rFonts w:ascii="LatoLatin-Regular" w:hAnsi="LatoLatin-Regular" w:cs="LatoLatin-Regular"/>
          <w:color w:val="222D35"/>
          <w:sz w:val="28"/>
          <w:szCs w:val="28"/>
        </w:rPr>
      </w:pPr>
      <w:r>
        <w:rPr>
          <w:rFonts w:ascii="LatoLatin-Bold" w:hAnsi="LatoLatin-Bold" w:cs="LatoLatin-Bold"/>
          <w:b/>
          <w:bCs/>
          <w:color w:val="222D35"/>
          <w:sz w:val="28"/>
          <w:szCs w:val="28"/>
        </w:rPr>
        <w:t>Plagiarism Reminder:</w:t>
      </w:r>
      <w:r>
        <w:rPr>
          <w:rFonts w:ascii="LatoLatin-Regular" w:hAnsi="LatoLatin-Regular" w:cs="LatoLatin-Regular"/>
          <w:color w:val="222D35"/>
          <w:sz w:val="28"/>
          <w:szCs w:val="28"/>
        </w:rPr>
        <w:t xml:space="preserve"> Please be sure to appropriately acknowledge and cite any sources used. Failure to do so constitutes plagiarism. Papers that contain plagiarized passages (intentionally or unintentionally) will receive a zero in accordance with </w:t>
      </w:r>
      <w:proofErr w:type="spellStart"/>
      <w:r>
        <w:rPr>
          <w:rFonts w:ascii="LatoLatin-Regular" w:hAnsi="LatoLatin-Regular" w:cs="LatoLatin-Regular"/>
          <w:color w:val="222D35"/>
          <w:sz w:val="28"/>
          <w:szCs w:val="28"/>
        </w:rPr>
        <w:t>Brenau</w:t>
      </w:r>
      <w:proofErr w:type="spellEnd"/>
      <w:r>
        <w:rPr>
          <w:rFonts w:ascii="LatoLatin-Regular" w:hAnsi="LatoLatin-Regular" w:cs="LatoLatin-Regular"/>
          <w:color w:val="222D35"/>
          <w:sz w:val="28"/>
          <w:szCs w:val="28"/>
        </w:rPr>
        <w:t xml:space="preserve"> policy. Your paper should represent your own, original work.</w:t>
      </w:r>
    </w:p>
    <w:p w14:paraId="35B724A5" w14:textId="77777777" w:rsidR="0001163C" w:rsidRDefault="0001163C" w:rsidP="0001163C">
      <w:pPr>
        <w:widowControl w:val="0"/>
        <w:autoSpaceDE w:val="0"/>
        <w:autoSpaceDN w:val="0"/>
        <w:adjustRightInd w:val="0"/>
        <w:rPr>
          <w:rFonts w:ascii="LatoLatin-Regular" w:hAnsi="LatoLatin-Regular" w:cs="LatoLatin-Regular"/>
          <w:color w:val="222D35"/>
          <w:sz w:val="28"/>
          <w:szCs w:val="28"/>
        </w:rPr>
      </w:pPr>
      <w:r>
        <w:rPr>
          <w:rFonts w:ascii="LatoLatin-Bold" w:hAnsi="LatoLatin-Bold" w:cs="LatoLatin-Bold"/>
          <w:b/>
          <w:bCs/>
          <w:color w:val="222D35"/>
          <w:sz w:val="28"/>
          <w:szCs w:val="28"/>
        </w:rPr>
        <w:t xml:space="preserve">Topic: </w:t>
      </w:r>
      <w:r>
        <w:rPr>
          <w:rFonts w:ascii="LatoLatin-Regular" w:hAnsi="LatoLatin-Regular" w:cs="LatoLatin-Regular"/>
          <w:color w:val="222D35"/>
          <w:sz w:val="28"/>
          <w:szCs w:val="28"/>
        </w:rPr>
        <w:t>Select a theme related to women's roles or women's bodies that appears in a variety of poems, stories, and non-fiction (for instance, the power/danger of women's sexuality, the confinement of marriage, the challenges facing the woman artist/intellectual). Note: since you are completing another project on the essays of Wollstonecraft, Woolf, Rich, and Walker, do not include their work in this paper. (Exception: you may include Rich's poetry.)</w:t>
      </w:r>
    </w:p>
    <w:p w14:paraId="4E05A1B6" w14:textId="77777777" w:rsidR="0001163C" w:rsidRDefault="0001163C" w:rsidP="0001163C">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 xml:space="preserve">Examine how the theme you have selected is presented in six to eight works on our syllabus. </w:t>
      </w:r>
      <w:r>
        <w:rPr>
          <w:rFonts w:ascii="LatoLatin-Regular" w:hAnsi="LatoLatin-Regular" w:cs="LatoLatin-Regular"/>
          <w:color w:val="222D35"/>
          <w:sz w:val="28"/>
          <w:szCs w:val="28"/>
          <w:u w:val="single"/>
        </w:rPr>
        <w:t>At least two of the texts must have been written before 1950.</w:t>
      </w:r>
      <w:r>
        <w:rPr>
          <w:rFonts w:ascii="LatoLatin-Regular" w:hAnsi="LatoLatin-Regular" w:cs="LatoLatin-Regular"/>
          <w:color w:val="222D35"/>
          <w:sz w:val="28"/>
          <w:szCs w:val="28"/>
        </w:rPr>
        <w:t xml:space="preserve"> Also, be sure to include at least two of the major forms (poetry, fiction, non-fiction, drama).</w:t>
      </w:r>
    </w:p>
    <w:p w14:paraId="49199FCE" w14:textId="77777777" w:rsidR="0001163C" w:rsidRDefault="0001163C" w:rsidP="0001163C">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What is similar and what is distinctive about each work's presentation of your theme? (Remember to maintain focus on examining your theme: No need to summarize a work already familiar to your audience.) As pertinent, refer to the works' historical context and literary elements. In your conclusion, explain which work(s) are most compelling to you and why.</w:t>
      </w:r>
    </w:p>
    <w:p w14:paraId="77146FC2" w14:textId="77777777" w:rsidR="000255DD" w:rsidRDefault="0001163C" w:rsidP="0001163C">
      <w:pPr>
        <w:rPr>
          <w:rFonts w:ascii="LatoLatin-Regular" w:hAnsi="LatoLatin-Regular" w:cs="LatoLatin-Regular"/>
          <w:color w:val="222D35"/>
          <w:sz w:val="28"/>
          <w:szCs w:val="28"/>
        </w:rPr>
      </w:pPr>
      <w:r>
        <w:rPr>
          <w:rFonts w:ascii="LatoLatin-Regular" w:hAnsi="LatoLatin-Regular" w:cs="LatoLatin-Regular"/>
          <w:color w:val="222D35"/>
          <w:sz w:val="28"/>
          <w:szCs w:val="28"/>
        </w:rPr>
        <w:t>Your Synthesis Paper should include short quotes from the primary texts for support. You may, if you wish, reinforce your evaluation with secondary criticism. Just be sure to appropriately acknowledge these critics (and be sure they are credible). If you include historical research beyond the general information included in our text, be sure to cite that as well.</w:t>
      </w:r>
    </w:p>
    <w:p w14:paraId="66106215" w14:textId="77777777" w:rsidR="00844F2A" w:rsidRDefault="00844F2A" w:rsidP="0001163C">
      <w:pPr>
        <w:rPr>
          <w:rFonts w:ascii="LatoLatin-Regular" w:hAnsi="LatoLatin-Regular" w:cs="LatoLatin-Regular"/>
          <w:color w:val="222D35"/>
          <w:sz w:val="28"/>
          <w:szCs w:val="28"/>
        </w:rPr>
      </w:pPr>
    </w:p>
    <w:p w14:paraId="1D8F9C2B" w14:textId="35AEA96D" w:rsidR="00844F2A" w:rsidRDefault="00844F2A" w:rsidP="0001163C">
      <w:pPr>
        <w:rPr>
          <w:rFonts w:ascii="LatoLatin-Regular" w:hAnsi="LatoLatin-Regular" w:cs="LatoLatin-Regular"/>
          <w:color w:val="222D35"/>
          <w:sz w:val="28"/>
          <w:szCs w:val="28"/>
        </w:rPr>
      </w:pPr>
      <w:r>
        <w:rPr>
          <w:rFonts w:ascii="LatoLatin-Regular" w:hAnsi="LatoLatin-Regular" w:cs="LatoLatin-Regular"/>
          <w:color w:val="222D35"/>
          <w:sz w:val="28"/>
          <w:szCs w:val="28"/>
        </w:rPr>
        <w:lastRenderedPageBreak/>
        <w:t>Reading Material</w:t>
      </w:r>
      <w:r w:rsidR="00F265CC">
        <w:rPr>
          <w:rFonts w:ascii="LatoLatin-Regular" w:hAnsi="LatoLatin-Regular" w:cs="LatoLatin-Regular"/>
          <w:color w:val="222D35"/>
          <w:sz w:val="28"/>
          <w:szCs w:val="28"/>
        </w:rPr>
        <w:t>: week 1</w:t>
      </w:r>
    </w:p>
    <w:p w14:paraId="71798969" w14:textId="77777777" w:rsidR="00F265CC" w:rsidRDefault="00F265CC" w:rsidP="00F265CC">
      <w:pPr>
        <w:widowControl w:val="0"/>
        <w:autoSpaceDE w:val="0"/>
        <w:autoSpaceDN w:val="0"/>
        <w:adjustRightInd w:val="0"/>
        <w:rPr>
          <w:rFonts w:ascii="LatoLatin-Regular" w:hAnsi="LatoLatin-Regular" w:cs="LatoLatin-Regular"/>
          <w:color w:val="222D35"/>
          <w:sz w:val="28"/>
          <w:szCs w:val="28"/>
          <w:u w:color="222D35"/>
        </w:rPr>
      </w:pPr>
      <w:r>
        <w:rPr>
          <w:rFonts w:ascii="LatoLatin-Regular" w:hAnsi="LatoLatin-Regular" w:cs="LatoLatin-Regular"/>
          <w:color w:val="222D35"/>
          <w:sz w:val="28"/>
          <w:szCs w:val="28"/>
          <w:u w:val="single" w:color="222D35"/>
        </w:rPr>
        <w:t>Read</w:t>
      </w:r>
      <w:r>
        <w:rPr>
          <w:rFonts w:ascii="LatoLatin-Regular" w:hAnsi="LatoLatin-Regular" w:cs="LatoLatin-Regular"/>
          <w:color w:val="222D35"/>
          <w:sz w:val="28"/>
          <w:szCs w:val="28"/>
          <w:u w:color="222D35"/>
        </w:rPr>
        <w:t xml:space="preserve"> the following selections from </w:t>
      </w:r>
      <w:r>
        <w:rPr>
          <w:rFonts w:ascii="LatoLatin-Italic" w:hAnsi="LatoLatin-Italic" w:cs="LatoLatin-Italic"/>
          <w:i/>
          <w:iCs/>
          <w:color w:val="222D35"/>
          <w:sz w:val="28"/>
          <w:szCs w:val="28"/>
          <w:u w:color="222D35"/>
        </w:rPr>
        <w:t>The Norton Anthology of Literature by Women</w:t>
      </w:r>
      <w:r>
        <w:rPr>
          <w:rFonts w:ascii="LatoLatin-Regular" w:hAnsi="LatoLatin-Regular" w:cs="LatoLatin-Regular"/>
          <w:color w:val="222D35"/>
          <w:sz w:val="28"/>
          <w:szCs w:val="28"/>
          <w:u w:color="222D35"/>
        </w:rPr>
        <w:t xml:space="preserve"> (always read the head-notes about the author as well): </w:t>
      </w:r>
    </w:p>
    <w:p w14:paraId="5E997DD3" w14:textId="77777777" w:rsidR="00F265CC" w:rsidRDefault="00F265CC" w:rsidP="00F265CC">
      <w:pPr>
        <w:widowControl w:val="0"/>
        <w:autoSpaceDE w:val="0"/>
        <w:autoSpaceDN w:val="0"/>
        <w:adjustRightInd w:val="0"/>
        <w:rPr>
          <w:rFonts w:ascii="LatoLatin-Regular" w:hAnsi="LatoLatin-Regular" w:cs="LatoLatin-Regular"/>
          <w:color w:val="222D35"/>
          <w:sz w:val="28"/>
          <w:szCs w:val="28"/>
          <w:u w:color="222D35"/>
        </w:rPr>
      </w:pPr>
      <w:r>
        <w:rPr>
          <w:rFonts w:ascii="LatoLatin-Regular" w:hAnsi="LatoLatin-Regular" w:cs="LatoLatin-Regular"/>
          <w:color w:val="222D35"/>
          <w:sz w:val="28"/>
          <w:szCs w:val="28"/>
          <w:u w:color="222D35"/>
        </w:rPr>
        <w:t xml:space="preserve">a. Sandra Gilbert and Susan </w:t>
      </w:r>
      <w:proofErr w:type="spellStart"/>
      <w:r>
        <w:rPr>
          <w:rFonts w:ascii="LatoLatin-Regular" w:hAnsi="LatoLatin-Regular" w:cs="LatoLatin-Regular"/>
          <w:color w:val="222D35"/>
          <w:sz w:val="28"/>
          <w:szCs w:val="28"/>
          <w:u w:color="222D35"/>
        </w:rPr>
        <w:t>Gubar</w:t>
      </w:r>
      <w:proofErr w:type="spellEnd"/>
      <w:r>
        <w:rPr>
          <w:rFonts w:ascii="LatoLatin-Regular" w:hAnsi="LatoLatin-Regular" w:cs="LatoLatin-Regular"/>
          <w:color w:val="222D35"/>
          <w:sz w:val="28"/>
          <w:szCs w:val="28"/>
          <w:u w:color="222D35"/>
        </w:rPr>
        <w:t>: "Early Twentieth-Century Literature" (1–29)</w:t>
      </w:r>
    </w:p>
    <w:p w14:paraId="417CEB15" w14:textId="77777777" w:rsidR="00F265CC" w:rsidRDefault="00F265CC" w:rsidP="00F265CC">
      <w:pPr>
        <w:widowControl w:val="0"/>
        <w:autoSpaceDE w:val="0"/>
        <w:autoSpaceDN w:val="0"/>
        <w:adjustRightInd w:val="0"/>
        <w:rPr>
          <w:rFonts w:ascii="LatoLatin-Regular" w:hAnsi="LatoLatin-Regular" w:cs="LatoLatin-Regular"/>
          <w:color w:val="222D35"/>
          <w:sz w:val="28"/>
          <w:szCs w:val="28"/>
          <w:u w:color="222D35"/>
        </w:rPr>
      </w:pPr>
      <w:r>
        <w:rPr>
          <w:rFonts w:ascii="LatoLatin-Regular" w:hAnsi="LatoLatin-Regular" w:cs="LatoLatin-Regular"/>
          <w:color w:val="222D35"/>
          <w:sz w:val="28"/>
          <w:szCs w:val="28"/>
          <w:u w:color="222D35"/>
        </w:rPr>
        <w:t>b. Virginia Woolf: "A Room of One's Own” (Shakespeare's Sister) on pages 237–243; "Professions for Women" (244–247)</w:t>
      </w:r>
    </w:p>
    <w:p w14:paraId="70535FE4" w14:textId="77777777" w:rsidR="00F265CC" w:rsidRDefault="00F265CC" w:rsidP="00F265CC">
      <w:pPr>
        <w:widowControl w:val="0"/>
        <w:autoSpaceDE w:val="0"/>
        <w:autoSpaceDN w:val="0"/>
        <w:adjustRightInd w:val="0"/>
        <w:rPr>
          <w:rFonts w:ascii="LatoLatin-Regular" w:hAnsi="LatoLatin-Regular" w:cs="LatoLatin-Regular"/>
          <w:color w:val="222D35"/>
          <w:sz w:val="28"/>
          <w:szCs w:val="28"/>
          <w:u w:color="222D35"/>
        </w:rPr>
      </w:pPr>
      <w:r>
        <w:rPr>
          <w:rFonts w:ascii="LatoLatin-Regular" w:hAnsi="LatoLatin-Regular" w:cs="LatoLatin-Regular"/>
          <w:color w:val="222D35"/>
          <w:sz w:val="28"/>
          <w:szCs w:val="28"/>
          <w:u w:color="222D35"/>
        </w:rPr>
        <w:t>c. Edith Wharton: "The Angel at the Grave" (31–43)</w:t>
      </w:r>
    </w:p>
    <w:p w14:paraId="499290CF" w14:textId="77777777" w:rsidR="00F265CC" w:rsidRDefault="00F265CC" w:rsidP="00F265CC">
      <w:pPr>
        <w:widowControl w:val="0"/>
        <w:autoSpaceDE w:val="0"/>
        <w:autoSpaceDN w:val="0"/>
        <w:adjustRightInd w:val="0"/>
        <w:rPr>
          <w:rFonts w:ascii="LatoLatin-Regular" w:hAnsi="LatoLatin-Regular" w:cs="LatoLatin-Regular"/>
          <w:color w:val="222D35"/>
          <w:sz w:val="28"/>
          <w:szCs w:val="28"/>
          <w:u w:color="222D35"/>
        </w:rPr>
      </w:pPr>
      <w:r>
        <w:rPr>
          <w:rFonts w:ascii="LatoLatin-Regular" w:hAnsi="LatoLatin-Regular" w:cs="LatoLatin-Regular"/>
          <w:color w:val="222D35"/>
          <w:sz w:val="28"/>
          <w:szCs w:val="28"/>
          <w:u w:color="222D35"/>
        </w:rPr>
        <w:t>d. Sui Sin Far: "Mrs. Spring Fragrance" (56–65)</w:t>
      </w:r>
    </w:p>
    <w:p w14:paraId="16CA2D18" w14:textId="77777777" w:rsidR="00F265CC" w:rsidRDefault="00F265CC" w:rsidP="00F265CC">
      <w:pPr>
        <w:widowControl w:val="0"/>
        <w:autoSpaceDE w:val="0"/>
        <w:autoSpaceDN w:val="0"/>
        <w:adjustRightInd w:val="0"/>
        <w:rPr>
          <w:rFonts w:ascii="LatoLatin-Regular" w:hAnsi="LatoLatin-Regular" w:cs="LatoLatin-Regular"/>
          <w:color w:val="222D35"/>
          <w:sz w:val="28"/>
          <w:szCs w:val="28"/>
          <w:u w:color="222D35"/>
        </w:rPr>
      </w:pPr>
      <w:r>
        <w:rPr>
          <w:rFonts w:ascii="LatoLatin-Regular" w:hAnsi="LatoLatin-Regular" w:cs="LatoLatin-Regular"/>
          <w:color w:val="222D35"/>
          <w:sz w:val="28"/>
          <w:szCs w:val="28"/>
          <w:u w:color="222D35"/>
        </w:rPr>
        <w:t>e. H.D. (Hilda Doolittle): "Eurydice" (285–288); "Fragment Thirty-six" (289–290); "Helen" (291)</w:t>
      </w:r>
    </w:p>
    <w:p w14:paraId="6530A7AA" w14:textId="77777777" w:rsidR="00F265CC" w:rsidRDefault="00F265CC" w:rsidP="00F265CC">
      <w:pPr>
        <w:widowControl w:val="0"/>
        <w:autoSpaceDE w:val="0"/>
        <w:autoSpaceDN w:val="0"/>
        <w:adjustRightInd w:val="0"/>
        <w:rPr>
          <w:rFonts w:ascii="LatoLatin-Regular" w:hAnsi="LatoLatin-Regular" w:cs="LatoLatin-Regular"/>
          <w:color w:val="222D35"/>
          <w:sz w:val="28"/>
          <w:szCs w:val="28"/>
          <w:u w:color="222D35"/>
        </w:rPr>
      </w:pPr>
      <w:r>
        <w:rPr>
          <w:rFonts w:ascii="LatoLatin-Regular" w:hAnsi="LatoLatin-Regular" w:cs="LatoLatin-Regular"/>
          <w:color w:val="222D35"/>
          <w:sz w:val="28"/>
          <w:szCs w:val="28"/>
          <w:u w:color="222D35"/>
        </w:rPr>
        <w:t>f. Marianne Moore: "Poetry" (311); "Silence" (313)</w:t>
      </w:r>
    </w:p>
    <w:p w14:paraId="556C4562" w14:textId="77777777" w:rsidR="00F265CC" w:rsidRDefault="00F265CC" w:rsidP="0001163C">
      <w:pPr>
        <w:rPr>
          <w:rFonts w:ascii="LatoLatin-Regular" w:hAnsi="LatoLatin-Regular" w:cs="LatoLatin-Regular"/>
          <w:color w:val="222D35"/>
          <w:sz w:val="28"/>
          <w:szCs w:val="28"/>
        </w:rPr>
      </w:pPr>
    </w:p>
    <w:p w14:paraId="169D1C92" w14:textId="3E3BDC45" w:rsidR="00F265CC" w:rsidRDefault="00F265CC" w:rsidP="0001163C">
      <w:pPr>
        <w:rPr>
          <w:rFonts w:ascii="LatoLatin-Regular" w:hAnsi="LatoLatin-Regular" w:cs="LatoLatin-Regular"/>
          <w:color w:val="222D35"/>
          <w:sz w:val="28"/>
          <w:szCs w:val="28"/>
        </w:rPr>
      </w:pPr>
      <w:r>
        <w:rPr>
          <w:rFonts w:ascii="LatoLatin-Regular" w:hAnsi="LatoLatin-Regular" w:cs="LatoLatin-Regular"/>
          <w:color w:val="222D35"/>
          <w:sz w:val="28"/>
          <w:szCs w:val="28"/>
        </w:rPr>
        <w:t>Week 2</w:t>
      </w:r>
    </w:p>
    <w:p w14:paraId="212CB19C" w14:textId="77777777" w:rsidR="007271EC" w:rsidRDefault="007271EC" w:rsidP="007271EC">
      <w:pPr>
        <w:widowControl w:val="0"/>
        <w:autoSpaceDE w:val="0"/>
        <w:autoSpaceDN w:val="0"/>
        <w:adjustRightInd w:val="0"/>
        <w:rPr>
          <w:rFonts w:ascii="LatoLatin-Regular" w:hAnsi="LatoLatin-Regular" w:cs="LatoLatin-Regular"/>
          <w:color w:val="222D35"/>
          <w:sz w:val="28"/>
          <w:szCs w:val="28"/>
        </w:rPr>
      </w:pPr>
      <w:r>
        <w:rPr>
          <w:rFonts w:ascii="LatoLatin-Bold" w:hAnsi="LatoLatin-Bold" w:cs="LatoLatin-Bold"/>
          <w:b/>
          <w:bCs/>
          <w:color w:val="222D35"/>
          <w:sz w:val="28"/>
          <w:szCs w:val="28"/>
        </w:rPr>
        <w:t>Readings</w:t>
      </w:r>
      <w:r>
        <w:rPr>
          <w:rFonts w:ascii="LatoLatin-Regular" w:hAnsi="LatoLatin-Regular" w:cs="LatoLatin-Regular"/>
          <w:color w:val="222D35"/>
          <w:sz w:val="28"/>
          <w:szCs w:val="28"/>
        </w:rPr>
        <w:t xml:space="preserve"> from </w:t>
      </w:r>
      <w:r>
        <w:rPr>
          <w:rFonts w:ascii="LatoLatin-Italic" w:hAnsi="LatoLatin-Italic" w:cs="LatoLatin-Italic"/>
          <w:i/>
          <w:iCs/>
          <w:color w:val="222D35"/>
          <w:sz w:val="28"/>
          <w:szCs w:val="28"/>
        </w:rPr>
        <w:t>The Norton Anthology of Literature by Women</w:t>
      </w:r>
      <w:r>
        <w:rPr>
          <w:rFonts w:ascii="LatoLatin-Regular" w:hAnsi="LatoLatin-Regular" w:cs="LatoLatin-Regular"/>
          <w:color w:val="222D35"/>
          <w:sz w:val="28"/>
          <w:szCs w:val="28"/>
        </w:rPr>
        <w:t>:</w:t>
      </w:r>
    </w:p>
    <w:p w14:paraId="4AA671C8" w14:textId="77777777" w:rsidR="007271EC" w:rsidRDefault="007271EC" w:rsidP="007271EC">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 xml:space="preserve">a. </w:t>
      </w:r>
      <w:proofErr w:type="spellStart"/>
      <w:r>
        <w:rPr>
          <w:rFonts w:ascii="LatoLatin-Regular" w:hAnsi="LatoLatin-Regular" w:cs="LatoLatin-Regular"/>
          <w:color w:val="222D35"/>
          <w:sz w:val="28"/>
          <w:szCs w:val="28"/>
        </w:rPr>
        <w:t>Zora</w:t>
      </w:r>
      <w:proofErr w:type="spellEnd"/>
      <w:r>
        <w:rPr>
          <w:rFonts w:ascii="LatoLatin-Regular" w:hAnsi="LatoLatin-Regular" w:cs="LatoLatin-Regular"/>
          <w:color w:val="222D35"/>
          <w:sz w:val="28"/>
          <w:szCs w:val="28"/>
        </w:rPr>
        <w:t xml:space="preserve"> Neale Hurston: "Sweat" (349–356); “How It Feels to Be Colored Me" (357–359)</w:t>
      </w:r>
    </w:p>
    <w:p w14:paraId="6E67F226" w14:textId="77777777" w:rsidR="007271EC" w:rsidRDefault="007271EC" w:rsidP="007271EC">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b. Edna St. Vincent Millay: [I, being born a woman and distressed] (446); [Women have loved before as I love now] (453); "Childhood Is the Kingdom Where Nobody Dies" (454); "Apostrophe to Man" (455); "Rendezvous" (455); [The courage that my mother had] (457); "An Ancient Gesture" (457); [I will put Chaos into fourteen lines] (458)</w:t>
      </w:r>
    </w:p>
    <w:p w14:paraId="24C19C9C" w14:textId="77777777" w:rsidR="007271EC" w:rsidRDefault="007271EC" w:rsidP="007271EC">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c. Dorothy Parker: "Resume" (487); "One Perfect Rose" (488);"News Item" (488); "Song of One of the Girls" (488);"The Waltz" (490–493)</w:t>
      </w:r>
    </w:p>
    <w:p w14:paraId="32A1C971" w14:textId="77777777" w:rsidR="007271EC" w:rsidRDefault="007271EC" w:rsidP="007271EC">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d. Eudora Welty: "A Worn Path" (598–603)</w:t>
      </w:r>
    </w:p>
    <w:p w14:paraId="03B9B372" w14:textId="77777777" w:rsidR="007271EC" w:rsidRDefault="007271EC" w:rsidP="007271EC">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e. Maya Angelou: [The Peckerwood Dentist and Momma's Incredible Powers] (926–930)</w:t>
      </w:r>
    </w:p>
    <w:p w14:paraId="0625C328" w14:textId="77777777" w:rsidR="007271EC" w:rsidRDefault="007271EC" w:rsidP="007271EC">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f. Elizabeth Bishop: "Invitation to Miss Marianne Moore" (612); "In the Waiting Room" (614); "One Art" (617)</w:t>
      </w:r>
    </w:p>
    <w:p w14:paraId="71BC857C" w14:textId="77777777" w:rsidR="007271EC" w:rsidRDefault="007271EC" w:rsidP="007271EC">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g. Muriel Rukeyser: "The Birth of Venus" (648); "The Poem as Mask" (649); "Myth" (653)</w:t>
      </w:r>
    </w:p>
    <w:p w14:paraId="245DD187" w14:textId="77777777" w:rsidR="00F265CC" w:rsidRDefault="00F265CC" w:rsidP="0001163C">
      <w:pPr>
        <w:rPr>
          <w:rFonts w:ascii="LatoLatin-Regular" w:hAnsi="LatoLatin-Regular" w:cs="LatoLatin-Regular"/>
          <w:color w:val="222D35"/>
          <w:sz w:val="28"/>
          <w:szCs w:val="28"/>
        </w:rPr>
      </w:pPr>
    </w:p>
    <w:p w14:paraId="6859C979" w14:textId="579328A8" w:rsidR="007271EC" w:rsidRDefault="007271EC" w:rsidP="0001163C">
      <w:pPr>
        <w:rPr>
          <w:rFonts w:ascii="LatoLatin-Regular" w:hAnsi="LatoLatin-Regular" w:cs="LatoLatin-Regular"/>
          <w:color w:val="222D35"/>
          <w:sz w:val="28"/>
          <w:szCs w:val="28"/>
        </w:rPr>
      </w:pPr>
      <w:r>
        <w:rPr>
          <w:rFonts w:ascii="LatoLatin-Regular" w:hAnsi="LatoLatin-Regular" w:cs="LatoLatin-Regular"/>
          <w:color w:val="222D35"/>
          <w:sz w:val="28"/>
          <w:szCs w:val="28"/>
        </w:rPr>
        <w:t>Week 3</w:t>
      </w:r>
    </w:p>
    <w:p w14:paraId="4C31E693" w14:textId="77777777" w:rsidR="00652A69" w:rsidRDefault="00652A69" w:rsidP="00652A69">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The following selections from The Norton Anthology of Literature by Women:</w:t>
      </w:r>
    </w:p>
    <w:p w14:paraId="316761FB" w14:textId="77777777" w:rsidR="00652A69" w:rsidRDefault="00652A69" w:rsidP="00652A69">
      <w:pPr>
        <w:widowControl w:val="0"/>
        <w:numPr>
          <w:ilvl w:val="0"/>
          <w:numId w:val="1"/>
        </w:numPr>
        <w:tabs>
          <w:tab w:val="left" w:pos="220"/>
          <w:tab w:val="left" w:pos="720"/>
        </w:tabs>
        <w:autoSpaceDE w:val="0"/>
        <w:autoSpaceDN w:val="0"/>
        <w:adjustRightInd w:val="0"/>
        <w:ind w:hanging="720"/>
        <w:rPr>
          <w:rFonts w:ascii="LatoLatin-Regular" w:hAnsi="LatoLatin-Regular" w:cs="LatoLatin-Regular"/>
          <w:color w:val="222D35"/>
          <w:sz w:val="28"/>
          <w:szCs w:val="28"/>
        </w:rPr>
      </w:pPr>
      <w:r>
        <w:rPr>
          <w:rFonts w:ascii="LatoLatin-Regular" w:hAnsi="LatoLatin-Regular" w:cs="LatoLatin-Regular"/>
          <w:color w:val="222D35"/>
          <w:sz w:val="28"/>
          <w:szCs w:val="28"/>
        </w:rPr>
        <w:t>Flannery O'Connor: "Good Country People" (893–906)</w:t>
      </w:r>
    </w:p>
    <w:p w14:paraId="6626A615" w14:textId="77777777" w:rsidR="00652A69" w:rsidRDefault="00652A69" w:rsidP="00652A69">
      <w:pPr>
        <w:widowControl w:val="0"/>
        <w:numPr>
          <w:ilvl w:val="0"/>
          <w:numId w:val="1"/>
        </w:numPr>
        <w:tabs>
          <w:tab w:val="left" w:pos="220"/>
          <w:tab w:val="left" w:pos="720"/>
        </w:tabs>
        <w:autoSpaceDE w:val="0"/>
        <w:autoSpaceDN w:val="0"/>
        <w:adjustRightInd w:val="0"/>
        <w:ind w:hanging="720"/>
        <w:rPr>
          <w:rFonts w:ascii="LatoLatin-Regular" w:hAnsi="LatoLatin-Regular" w:cs="LatoLatin-Regular"/>
          <w:color w:val="222D35"/>
          <w:sz w:val="28"/>
          <w:szCs w:val="28"/>
        </w:rPr>
      </w:pPr>
      <w:proofErr w:type="spellStart"/>
      <w:r>
        <w:rPr>
          <w:rFonts w:ascii="LatoLatin-Regular" w:hAnsi="LatoLatin-Regular" w:cs="LatoLatin-Regular"/>
          <w:color w:val="222D35"/>
          <w:sz w:val="28"/>
          <w:szCs w:val="28"/>
        </w:rPr>
        <w:t>Hisaye</w:t>
      </w:r>
      <w:proofErr w:type="spellEnd"/>
      <w:r>
        <w:rPr>
          <w:rFonts w:ascii="LatoLatin-Regular" w:hAnsi="LatoLatin-Regular" w:cs="LatoLatin-Regular"/>
          <w:color w:val="222D35"/>
          <w:sz w:val="28"/>
          <w:szCs w:val="28"/>
        </w:rPr>
        <w:t xml:space="preserve"> Yamamoto: "Seventeen Syllables" (834–843)</w:t>
      </w:r>
    </w:p>
    <w:p w14:paraId="73BE73E7" w14:textId="77777777" w:rsidR="00652A69" w:rsidRDefault="00652A69" w:rsidP="00652A69">
      <w:pPr>
        <w:widowControl w:val="0"/>
        <w:numPr>
          <w:ilvl w:val="0"/>
          <w:numId w:val="1"/>
        </w:numPr>
        <w:tabs>
          <w:tab w:val="left" w:pos="220"/>
          <w:tab w:val="left" w:pos="720"/>
        </w:tabs>
        <w:autoSpaceDE w:val="0"/>
        <w:autoSpaceDN w:val="0"/>
        <w:adjustRightInd w:val="0"/>
        <w:ind w:hanging="720"/>
        <w:rPr>
          <w:rFonts w:ascii="LatoLatin-Regular" w:hAnsi="LatoLatin-Regular" w:cs="LatoLatin-Regular"/>
          <w:color w:val="222D35"/>
          <w:sz w:val="28"/>
          <w:szCs w:val="28"/>
        </w:rPr>
      </w:pPr>
      <w:r>
        <w:rPr>
          <w:rFonts w:ascii="LatoLatin-Regular" w:hAnsi="LatoLatin-Regular" w:cs="LatoLatin-Regular"/>
          <w:color w:val="222D35"/>
          <w:sz w:val="28"/>
          <w:szCs w:val="28"/>
        </w:rPr>
        <w:t xml:space="preserve">Maxine W. </w:t>
      </w:r>
      <w:proofErr w:type="spellStart"/>
      <w:r>
        <w:rPr>
          <w:rFonts w:ascii="LatoLatin-Regular" w:hAnsi="LatoLatin-Regular" w:cs="LatoLatin-Regular"/>
          <w:color w:val="222D35"/>
          <w:sz w:val="28"/>
          <w:szCs w:val="28"/>
        </w:rPr>
        <w:t>Kumin</w:t>
      </w:r>
      <w:proofErr w:type="spellEnd"/>
      <w:r>
        <w:rPr>
          <w:rFonts w:ascii="LatoLatin-Regular" w:hAnsi="LatoLatin-Regular" w:cs="LatoLatin-Regular"/>
          <w:color w:val="222D35"/>
          <w:sz w:val="28"/>
          <w:szCs w:val="28"/>
        </w:rPr>
        <w:t>: "Making the Jam without You" (913);"The Envelope" (915); "How It Is" (915);"</w:t>
      </w:r>
      <w:proofErr w:type="spellStart"/>
      <w:r>
        <w:rPr>
          <w:rFonts w:ascii="LatoLatin-Regular" w:hAnsi="LatoLatin-Regular" w:cs="LatoLatin-Regular"/>
          <w:color w:val="222D35"/>
          <w:sz w:val="28"/>
          <w:szCs w:val="28"/>
        </w:rPr>
        <w:t>Skinnydipping</w:t>
      </w:r>
      <w:proofErr w:type="spellEnd"/>
      <w:r>
        <w:rPr>
          <w:rFonts w:ascii="LatoLatin-Regular" w:hAnsi="LatoLatin-Regular" w:cs="LatoLatin-Regular"/>
          <w:color w:val="222D35"/>
          <w:sz w:val="28"/>
          <w:szCs w:val="28"/>
        </w:rPr>
        <w:t xml:space="preserve"> with William Wordsworth" (916) "Women and Horses" (917); "Sonnet in So Many Words" (918)</w:t>
      </w:r>
    </w:p>
    <w:p w14:paraId="30348C2B" w14:textId="6C7163EB" w:rsidR="00652A69" w:rsidRDefault="00652A69" w:rsidP="00652A69">
      <w:pPr>
        <w:rPr>
          <w:rFonts w:ascii="LatoLatin-Regular" w:hAnsi="LatoLatin-Regular" w:cs="LatoLatin-Regular"/>
          <w:color w:val="222D35"/>
          <w:sz w:val="28"/>
          <w:szCs w:val="28"/>
        </w:rPr>
      </w:pPr>
      <w:r>
        <w:rPr>
          <w:rFonts w:ascii="LatoLatin-Regular" w:hAnsi="LatoLatin-Regular" w:cs="LatoLatin-Regular"/>
          <w:color w:val="222D35"/>
          <w:sz w:val="28"/>
          <w:szCs w:val="28"/>
        </w:rPr>
        <w:t>Adrienne Rich: "Aunt Jennifer's Tigers" (965);"Snapshots of a Daughter-in-Law" (965–969); "Power" (972);"I Am in Danger--Sir--"(969); "Diving into the Wreck" (970); "When We Dead Awaken: Writing as Revision" (982–994)</w:t>
      </w:r>
    </w:p>
    <w:p w14:paraId="55132A14" w14:textId="77777777" w:rsidR="00652A69" w:rsidRDefault="00652A69" w:rsidP="00652A69">
      <w:pPr>
        <w:rPr>
          <w:rFonts w:ascii="LatoLatin-Regular" w:hAnsi="LatoLatin-Regular" w:cs="LatoLatin-Regular"/>
          <w:color w:val="222D35"/>
          <w:sz w:val="28"/>
          <w:szCs w:val="28"/>
        </w:rPr>
      </w:pPr>
    </w:p>
    <w:p w14:paraId="5B4216E8" w14:textId="6B7C9A32" w:rsidR="00652A69" w:rsidRDefault="00652A69" w:rsidP="00652A69">
      <w:pPr>
        <w:rPr>
          <w:rFonts w:ascii="LatoLatin-Regular" w:hAnsi="LatoLatin-Regular" w:cs="LatoLatin-Regular"/>
          <w:color w:val="222D35"/>
          <w:sz w:val="28"/>
          <w:szCs w:val="28"/>
        </w:rPr>
      </w:pPr>
      <w:r>
        <w:rPr>
          <w:rFonts w:ascii="LatoLatin-Regular" w:hAnsi="LatoLatin-Regular" w:cs="LatoLatin-Regular"/>
          <w:color w:val="222D35"/>
          <w:sz w:val="28"/>
          <w:szCs w:val="28"/>
        </w:rPr>
        <w:t xml:space="preserve">Week 4 </w:t>
      </w:r>
    </w:p>
    <w:p w14:paraId="484AE6B5" w14:textId="77777777" w:rsidR="007177C9" w:rsidRDefault="007177C9" w:rsidP="007177C9">
      <w:pPr>
        <w:widowControl w:val="0"/>
        <w:autoSpaceDE w:val="0"/>
        <w:autoSpaceDN w:val="0"/>
        <w:adjustRightInd w:val="0"/>
        <w:rPr>
          <w:rFonts w:ascii="LatoLatin-Regular" w:hAnsi="LatoLatin-Regular" w:cs="LatoLatin-Regular"/>
          <w:color w:val="222D35"/>
          <w:sz w:val="28"/>
          <w:szCs w:val="28"/>
        </w:rPr>
      </w:pPr>
      <w:r>
        <w:rPr>
          <w:rFonts w:ascii="LatoLatin-Bold" w:hAnsi="LatoLatin-Bold" w:cs="LatoLatin-Bold"/>
          <w:b/>
          <w:bCs/>
          <w:color w:val="222D35"/>
          <w:sz w:val="28"/>
          <w:szCs w:val="28"/>
        </w:rPr>
        <w:t>READINGS and ASSIGNMENTS</w:t>
      </w:r>
    </w:p>
    <w:p w14:paraId="7C818FE8" w14:textId="77777777" w:rsidR="007177C9" w:rsidRDefault="007177C9" w:rsidP="007177C9">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 xml:space="preserve">The following selections from </w:t>
      </w:r>
      <w:r>
        <w:rPr>
          <w:rFonts w:ascii="LatoLatin-Italic" w:hAnsi="LatoLatin-Italic" w:cs="LatoLatin-Italic"/>
          <w:i/>
          <w:iCs/>
          <w:color w:val="222D35"/>
          <w:sz w:val="28"/>
          <w:szCs w:val="28"/>
        </w:rPr>
        <w:t>The Norton Anthology of Literature by Women</w:t>
      </w:r>
      <w:r>
        <w:rPr>
          <w:rFonts w:ascii="LatoLatin-Regular" w:hAnsi="LatoLatin-Regular" w:cs="LatoLatin-Regular"/>
          <w:color w:val="222D35"/>
          <w:sz w:val="28"/>
          <w:szCs w:val="28"/>
        </w:rPr>
        <w:t>:</w:t>
      </w:r>
    </w:p>
    <w:p w14:paraId="117AB58A" w14:textId="77777777" w:rsidR="007177C9" w:rsidRDefault="007177C9" w:rsidP="007177C9">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a. Alice Walker: "In Search of Our Mothers' Gardens" (1296–1302)</w:t>
      </w:r>
    </w:p>
    <w:p w14:paraId="2B932528" w14:textId="77777777" w:rsidR="007177C9" w:rsidRDefault="007177C9" w:rsidP="007177C9">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 xml:space="preserve">b. Ursula K. Le </w:t>
      </w:r>
      <w:proofErr w:type="spellStart"/>
      <w:r>
        <w:rPr>
          <w:rFonts w:ascii="LatoLatin-Regular" w:hAnsi="LatoLatin-Regular" w:cs="LatoLatin-Regular"/>
          <w:color w:val="222D35"/>
          <w:sz w:val="28"/>
          <w:szCs w:val="28"/>
        </w:rPr>
        <w:t>Guin</w:t>
      </w:r>
      <w:proofErr w:type="spellEnd"/>
      <w:r>
        <w:rPr>
          <w:rFonts w:ascii="LatoLatin-Regular" w:hAnsi="LatoLatin-Regular" w:cs="LatoLatin-Regular"/>
          <w:color w:val="222D35"/>
          <w:sz w:val="28"/>
          <w:szCs w:val="28"/>
        </w:rPr>
        <w:t xml:space="preserve">: "She </w:t>
      </w:r>
      <w:proofErr w:type="spellStart"/>
      <w:r>
        <w:rPr>
          <w:rFonts w:ascii="LatoLatin-Regular" w:hAnsi="LatoLatin-Regular" w:cs="LatoLatin-Regular"/>
          <w:color w:val="222D35"/>
          <w:sz w:val="28"/>
          <w:szCs w:val="28"/>
        </w:rPr>
        <w:t>Unnames</w:t>
      </w:r>
      <w:proofErr w:type="spellEnd"/>
      <w:r>
        <w:rPr>
          <w:rFonts w:ascii="LatoLatin-Regular" w:hAnsi="LatoLatin-Regular" w:cs="LatoLatin-Regular"/>
          <w:color w:val="222D35"/>
          <w:sz w:val="28"/>
          <w:szCs w:val="28"/>
        </w:rPr>
        <w:t xml:space="preserve"> Them" (953–954)</w:t>
      </w:r>
    </w:p>
    <w:p w14:paraId="470547F2" w14:textId="77777777" w:rsidR="007177C9" w:rsidRDefault="007177C9" w:rsidP="007177C9">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c. Joyce Carol Oates: "Where Are You Going, Where Have You Been?" (1192–1202)</w:t>
      </w:r>
    </w:p>
    <w:p w14:paraId="30A5F5A4" w14:textId="77777777" w:rsidR="007177C9" w:rsidRDefault="007177C9" w:rsidP="007177C9">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d. Margaret Atwood: "There Was Once" (1217–1218); "The Little Red Hen Tells All" (1219–1220)</w:t>
      </w:r>
    </w:p>
    <w:p w14:paraId="69CD6F8A" w14:textId="77777777" w:rsidR="007177C9" w:rsidRDefault="007177C9" w:rsidP="007177C9">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e. Angela Carter: "The Company of Wolves" (1221–1227)</w:t>
      </w:r>
    </w:p>
    <w:p w14:paraId="093CEE9B" w14:textId="77777777" w:rsidR="007177C9" w:rsidRDefault="007177C9" w:rsidP="007177C9">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f. Maxine Hong Kingston: "No Name Woman" (1229–1237)</w:t>
      </w:r>
    </w:p>
    <w:p w14:paraId="1175B3BA" w14:textId="77777777" w:rsidR="00652A69" w:rsidRDefault="00652A69" w:rsidP="00652A69">
      <w:pPr>
        <w:rPr>
          <w:rFonts w:ascii="LatoLatin-Regular" w:hAnsi="LatoLatin-Regular" w:cs="LatoLatin-Regular"/>
          <w:color w:val="222D35"/>
          <w:sz w:val="28"/>
          <w:szCs w:val="28"/>
        </w:rPr>
      </w:pPr>
    </w:p>
    <w:p w14:paraId="44213F29" w14:textId="4D4E0BD9" w:rsidR="00C42359" w:rsidRDefault="00C42359" w:rsidP="00652A69">
      <w:pPr>
        <w:rPr>
          <w:rFonts w:ascii="LatoLatin-Regular" w:hAnsi="LatoLatin-Regular" w:cs="LatoLatin-Regular"/>
          <w:color w:val="222D35"/>
          <w:sz w:val="28"/>
          <w:szCs w:val="28"/>
        </w:rPr>
      </w:pPr>
      <w:r>
        <w:rPr>
          <w:rFonts w:ascii="LatoLatin-Regular" w:hAnsi="LatoLatin-Regular" w:cs="LatoLatin-Regular"/>
          <w:color w:val="222D35"/>
          <w:sz w:val="28"/>
          <w:szCs w:val="28"/>
        </w:rPr>
        <w:t>Week 5</w:t>
      </w:r>
    </w:p>
    <w:p w14:paraId="44AA140E" w14:textId="77777777" w:rsidR="00C42359" w:rsidRDefault="00C42359" w:rsidP="00C42359">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 xml:space="preserve">The following selections from </w:t>
      </w:r>
      <w:r>
        <w:rPr>
          <w:rFonts w:ascii="LatoLatin-Italic" w:hAnsi="LatoLatin-Italic" w:cs="LatoLatin-Italic"/>
          <w:i/>
          <w:iCs/>
          <w:color w:val="222D35"/>
          <w:sz w:val="28"/>
          <w:szCs w:val="28"/>
        </w:rPr>
        <w:t>The Norton Anthology of Literature by Women</w:t>
      </w:r>
      <w:r>
        <w:rPr>
          <w:rFonts w:ascii="LatoLatin-Regular" w:hAnsi="LatoLatin-Regular" w:cs="LatoLatin-Regular"/>
          <w:color w:val="222D35"/>
          <w:sz w:val="28"/>
          <w:szCs w:val="28"/>
        </w:rPr>
        <w:t>:</w:t>
      </w:r>
    </w:p>
    <w:p w14:paraId="4BD031E8" w14:textId="77777777" w:rsidR="00C42359" w:rsidRDefault="00C42359" w:rsidP="00C42359">
      <w:pPr>
        <w:widowControl w:val="0"/>
        <w:numPr>
          <w:ilvl w:val="0"/>
          <w:numId w:val="1"/>
        </w:numPr>
        <w:tabs>
          <w:tab w:val="left" w:pos="220"/>
          <w:tab w:val="left" w:pos="720"/>
        </w:tabs>
        <w:autoSpaceDE w:val="0"/>
        <w:autoSpaceDN w:val="0"/>
        <w:adjustRightInd w:val="0"/>
        <w:ind w:hanging="720"/>
        <w:rPr>
          <w:rFonts w:ascii="LatoLatin-Regular" w:hAnsi="LatoLatin-Regular" w:cs="LatoLatin-Regular"/>
          <w:color w:val="222D35"/>
          <w:sz w:val="28"/>
          <w:szCs w:val="28"/>
        </w:rPr>
      </w:pPr>
      <w:r>
        <w:rPr>
          <w:rFonts w:ascii="LatoLatin-Regular" w:hAnsi="LatoLatin-Regular" w:cs="LatoLatin-Regular"/>
          <w:color w:val="222D35"/>
          <w:sz w:val="28"/>
          <w:szCs w:val="28"/>
        </w:rPr>
        <w:t>Sharon Olds: "The Death of Marilyn Monroe" (1279); "The Language of the Brag" (1279–1280); "Rite of Passage" (1280–1281); "The One Girl at the Boys' Party" (1281); "This" (1281–1282); "The Mortal One" (1282–1283)</w:t>
      </w:r>
    </w:p>
    <w:p w14:paraId="0D175C70" w14:textId="77777777" w:rsidR="00C42359" w:rsidRDefault="00C42359" w:rsidP="00C42359">
      <w:pPr>
        <w:widowControl w:val="0"/>
        <w:numPr>
          <w:ilvl w:val="0"/>
          <w:numId w:val="1"/>
        </w:numPr>
        <w:tabs>
          <w:tab w:val="left" w:pos="220"/>
          <w:tab w:val="left" w:pos="720"/>
        </w:tabs>
        <w:autoSpaceDE w:val="0"/>
        <w:autoSpaceDN w:val="0"/>
        <w:adjustRightInd w:val="0"/>
        <w:ind w:hanging="720"/>
        <w:rPr>
          <w:rFonts w:ascii="LatoLatin-Regular" w:hAnsi="LatoLatin-Regular" w:cs="LatoLatin-Regular"/>
          <w:color w:val="222D35"/>
          <w:sz w:val="28"/>
          <w:szCs w:val="28"/>
        </w:rPr>
      </w:pPr>
      <w:r>
        <w:rPr>
          <w:rFonts w:ascii="LatoLatin-Regular" w:hAnsi="LatoLatin-Regular" w:cs="LatoLatin-Regular"/>
          <w:color w:val="222D35"/>
          <w:sz w:val="28"/>
          <w:szCs w:val="28"/>
        </w:rPr>
        <w:t>Louise Gluck: "The School Children" (1283); "The Drowned Children" (1284); from "Dedication to Hunger" (1284); "Widows" (1285); "Terminal Resemblance" (1286); "First Memory" (1287); "Lullaby" (1287); "Vita Nova" (1287)</w:t>
      </w:r>
    </w:p>
    <w:p w14:paraId="5441EF48" w14:textId="77777777" w:rsidR="00C42359" w:rsidRDefault="00C42359" w:rsidP="00C42359">
      <w:pPr>
        <w:widowControl w:val="0"/>
        <w:numPr>
          <w:ilvl w:val="0"/>
          <w:numId w:val="1"/>
        </w:numPr>
        <w:tabs>
          <w:tab w:val="left" w:pos="220"/>
          <w:tab w:val="left" w:pos="720"/>
        </w:tabs>
        <w:autoSpaceDE w:val="0"/>
        <w:autoSpaceDN w:val="0"/>
        <w:adjustRightInd w:val="0"/>
        <w:ind w:hanging="720"/>
        <w:rPr>
          <w:rFonts w:ascii="LatoLatin-Regular" w:hAnsi="LatoLatin-Regular" w:cs="LatoLatin-Regular"/>
          <w:color w:val="222D35"/>
          <w:sz w:val="28"/>
          <w:szCs w:val="28"/>
        </w:rPr>
      </w:pPr>
      <w:r>
        <w:rPr>
          <w:rFonts w:ascii="LatoLatin-Regular" w:hAnsi="LatoLatin-Regular" w:cs="LatoLatin-Regular"/>
          <w:color w:val="222D35"/>
          <w:sz w:val="28"/>
          <w:szCs w:val="28"/>
        </w:rPr>
        <w:t>Sandra Cisneros: "Woman Hollering Creek" (1399–1407)</w:t>
      </w:r>
    </w:p>
    <w:p w14:paraId="4A80E13F" w14:textId="008578A6" w:rsidR="00C42359" w:rsidRDefault="00C42359" w:rsidP="00C42359">
      <w:pPr>
        <w:rPr>
          <w:rFonts w:ascii="LatoLatin-Regular" w:hAnsi="LatoLatin-Regular" w:cs="LatoLatin-Regular"/>
          <w:color w:val="222D35"/>
          <w:sz w:val="28"/>
          <w:szCs w:val="28"/>
        </w:rPr>
      </w:pPr>
      <w:r>
        <w:rPr>
          <w:rFonts w:ascii="LatoLatin-Regular" w:hAnsi="LatoLatin-Regular" w:cs="LatoLatin-Regular"/>
          <w:color w:val="222D35"/>
          <w:sz w:val="28"/>
          <w:szCs w:val="28"/>
        </w:rPr>
        <w:t xml:space="preserve">Louise </w:t>
      </w:r>
      <w:proofErr w:type="spellStart"/>
      <w:r>
        <w:rPr>
          <w:rFonts w:ascii="LatoLatin-Regular" w:hAnsi="LatoLatin-Regular" w:cs="LatoLatin-Regular"/>
          <w:color w:val="222D35"/>
          <w:sz w:val="28"/>
          <w:szCs w:val="28"/>
        </w:rPr>
        <w:t>Erdrich</w:t>
      </w:r>
      <w:proofErr w:type="spellEnd"/>
      <w:r>
        <w:rPr>
          <w:rFonts w:ascii="LatoLatin-Regular" w:hAnsi="LatoLatin-Regular" w:cs="LatoLatin-Regular"/>
          <w:color w:val="222D35"/>
          <w:sz w:val="28"/>
          <w:szCs w:val="28"/>
        </w:rPr>
        <w:t>: "The Shawl" (1409–1413)</w:t>
      </w:r>
    </w:p>
    <w:p w14:paraId="7E14C179" w14:textId="77777777" w:rsidR="007A1B16" w:rsidRDefault="007A1B16" w:rsidP="00C42359">
      <w:pPr>
        <w:rPr>
          <w:rFonts w:ascii="LatoLatin-Regular" w:hAnsi="LatoLatin-Regular" w:cs="LatoLatin-Regular"/>
          <w:color w:val="222D35"/>
          <w:sz w:val="28"/>
          <w:szCs w:val="28"/>
        </w:rPr>
      </w:pPr>
    </w:p>
    <w:p w14:paraId="7D4F3F9B" w14:textId="3CEEC45B" w:rsidR="007A1B16" w:rsidRDefault="007A1B16" w:rsidP="00C42359">
      <w:pPr>
        <w:rPr>
          <w:rFonts w:ascii="LatoLatin-Regular" w:hAnsi="LatoLatin-Regular" w:cs="LatoLatin-Regular"/>
          <w:color w:val="222D35"/>
          <w:sz w:val="28"/>
          <w:szCs w:val="28"/>
        </w:rPr>
      </w:pPr>
      <w:r>
        <w:rPr>
          <w:rFonts w:ascii="LatoLatin-Regular" w:hAnsi="LatoLatin-Regular" w:cs="LatoLatin-Regular"/>
          <w:color w:val="222D35"/>
          <w:sz w:val="28"/>
          <w:szCs w:val="28"/>
        </w:rPr>
        <w:t>Week 6</w:t>
      </w:r>
    </w:p>
    <w:p w14:paraId="79B21E73" w14:textId="77777777" w:rsidR="007A1B16" w:rsidRDefault="007A1B16" w:rsidP="007A1B16">
      <w:pPr>
        <w:widowControl w:val="0"/>
        <w:autoSpaceDE w:val="0"/>
        <w:autoSpaceDN w:val="0"/>
        <w:adjustRightInd w:val="0"/>
        <w:rPr>
          <w:rFonts w:ascii="LatoLatin-Regular" w:hAnsi="LatoLatin-Regular" w:cs="LatoLatin-Regular"/>
          <w:color w:val="222D35"/>
          <w:sz w:val="28"/>
          <w:szCs w:val="28"/>
        </w:rPr>
      </w:pPr>
      <w:r>
        <w:rPr>
          <w:rFonts w:ascii="LatoLatin-Bold" w:hAnsi="LatoLatin-Bold" w:cs="LatoLatin-Bold"/>
          <w:b/>
          <w:bCs/>
          <w:color w:val="222D35"/>
          <w:sz w:val="28"/>
          <w:szCs w:val="28"/>
        </w:rPr>
        <w:t>Readings &amp; Assignments</w:t>
      </w:r>
    </w:p>
    <w:p w14:paraId="4147135E" w14:textId="77777777" w:rsidR="007A1B16" w:rsidRDefault="007A1B16" w:rsidP="007A1B16">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 xml:space="preserve">The following selection from </w:t>
      </w:r>
      <w:r>
        <w:rPr>
          <w:rFonts w:ascii="LatoLatin-Italic" w:hAnsi="LatoLatin-Italic" w:cs="LatoLatin-Italic"/>
          <w:i/>
          <w:iCs/>
          <w:color w:val="222D35"/>
          <w:sz w:val="28"/>
          <w:szCs w:val="28"/>
        </w:rPr>
        <w:t>The Norton Anthology of Literature by Women</w:t>
      </w:r>
      <w:r>
        <w:rPr>
          <w:rFonts w:ascii="LatoLatin-Regular" w:hAnsi="LatoLatin-Regular" w:cs="LatoLatin-Regular"/>
          <w:color w:val="222D35"/>
          <w:sz w:val="28"/>
          <w:szCs w:val="28"/>
        </w:rPr>
        <w:t>:</w:t>
      </w:r>
    </w:p>
    <w:p w14:paraId="5EBEE513" w14:textId="77777777" w:rsidR="007A1B16" w:rsidRDefault="007A1B16" w:rsidP="007A1B16">
      <w:pPr>
        <w:widowControl w:val="0"/>
        <w:autoSpaceDE w:val="0"/>
        <w:autoSpaceDN w:val="0"/>
        <w:adjustRightInd w:val="0"/>
        <w:rPr>
          <w:rFonts w:ascii="LatoLatin-Regular" w:hAnsi="LatoLatin-Regular" w:cs="LatoLatin-Regular"/>
          <w:color w:val="222D35"/>
          <w:sz w:val="28"/>
          <w:szCs w:val="28"/>
        </w:rPr>
      </w:pPr>
      <w:r>
        <w:rPr>
          <w:rFonts w:ascii="LatoLatin-Regular" w:hAnsi="LatoLatin-Regular" w:cs="LatoLatin-Regular"/>
          <w:color w:val="222D35"/>
          <w:sz w:val="28"/>
          <w:szCs w:val="28"/>
        </w:rPr>
        <w:t>Margaret Edson: </w:t>
      </w:r>
      <w:r>
        <w:rPr>
          <w:rFonts w:ascii="LatoLatin-Italic" w:hAnsi="LatoLatin-Italic" w:cs="LatoLatin-Italic"/>
          <w:i/>
          <w:iCs/>
          <w:color w:val="222D35"/>
          <w:sz w:val="28"/>
          <w:szCs w:val="28"/>
        </w:rPr>
        <w:t>Wit</w:t>
      </w:r>
      <w:r>
        <w:rPr>
          <w:rFonts w:ascii="LatoLatin-Regular" w:hAnsi="LatoLatin-Regular" w:cs="LatoLatin-Regular"/>
          <w:color w:val="222D35"/>
          <w:sz w:val="28"/>
          <w:szCs w:val="28"/>
        </w:rPr>
        <w:t xml:space="preserve"> (1454–1487)</w:t>
      </w:r>
    </w:p>
    <w:p w14:paraId="644818DD" w14:textId="77777777" w:rsidR="007A1B16" w:rsidRDefault="007A1B16" w:rsidP="00C42359">
      <w:pPr>
        <w:rPr>
          <w:rFonts w:ascii="LatoLatin-Regular" w:hAnsi="LatoLatin-Regular" w:cs="LatoLatin-Regular"/>
          <w:color w:val="222D35"/>
          <w:sz w:val="28"/>
          <w:szCs w:val="28"/>
        </w:rPr>
      </w:pPr>
      <w:bookmarkStart w:id="0" w:name="_GoBack"/>
      <w:bookmarkEnd w:id="0"/>
    </w:p>
    <w:p w14:paraId="7E9FD99D" w14:textId="77777777" w:rsidR="00F265CC" w:rsidRDefault="00F265CC" w:rsidP="0001163C"/>
    <w:sectPr w:rsidR="00F265CC" w:rsidSect="000A6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atoLatin-Light">
    <w:altName w:val="Cambria"/>
    <w:panose1 w:val="00000000000000000000"/>
    <w:charset w:val="00"/>
    <w:family w:val="auto"/>
    <w:notTrueType/>
    <w:pitch w:val="default"/>
    <w:sig w:usb0="00000003" w:usb1="00000000" w:usb2="00000000" w:usb3="00000000" w:csb0="00000001" w:csb1="00000000"/>
  </w:font>
  <w:font w:name="LatoLatin-Bold">
    <w:altName w:val="Cambria"/>
    <w:panose1 w:val="00000000000000000000"/>
    <w:charset w:val="00"/>
    <w:family w:val="auto"/>
    <w:notTrueType/>
    <w:pitch w:val="default"/>
    <w:sig w:usb0="00000003" w:usb1="00000000" w:usb2="00000000" w:usb3="00000000" w:csb0="00000001" w:csb1="00000000"/>
  </w:font>
  <w:font w:name="LatoLatin-Regular">
    <w:altName w:val="Cambria"/>
    <w:panose1 w:val="00000000000000000000"/>
    <w:charset w:val="00"/>
    <w:family w:val="auto"/>
    <w:notTrueType/>
    <w:pitch w:val="default"/>
    <w:sig w:usb0="00000003" w:usb1="00000000" w:usb2="00000000" w:usb3="00000000" w:csb0="00000001" w:csb1="00000000"/>
  </w:font>
  <w:font w:name="LatoLatin-Itali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63C"/>
    <w:rsid w:val="0001163C"/>
    <w:rsid w:val="000255DD"/>
    <w:rsid w:val="000A6005"/>
    <w:rsid w:val="00652A69"/>
    <w:rsid w:val="007177C9"/>
    <w:rsid w:val="007271EC"/>
    <w:rsid w:val="007A1B16"/>
    <w:rsid w:val="00844F2A"/>
    <w:rsid w:val="00C42359"/>
    <w:rsid w:val="00F26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5088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825</Words>
  <Characters>4703</Characters>
  <Application>Microsoft Macintosh Word</Application>
  <DocSecurity>0</DocSecurity>
  <Lines>39</Lines>
  <Paragraphs>11</Paragraphs>
  <ScaleCrop>false</ScaleCrop>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Payne</dc:creator>
  <cp:keywords/>
  <dc:description/>
  <cp:lastModifiedBy>Brian Payne</cp:lastModifiedBy>
  <cp:revision>8</cp:revision>
  <dcterms:created xsi:type="dcterms:W3CDTF">2017-02-13T14:31:00Z</dcterms:created>
  <dcterms:modified xsi:type="dcterms:W3CDTF">2017-02-13T14:44:00Z</dcterms:modified>
</cp:coreProperties>
</file>