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F2" w:rsidRPr="00A03272" w:rsidRDefault="00074FF2" w:rsidP="00A0327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74FF2" w:rsidRPr="00A03272" w:rsidRDefault="00A86803" w:rsidP="00A0327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Khaled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AlShammari</w:t>
      </w:r>
      <w:proofErr w:type="spellEnd"/>
    </w:p>
    <w:p w:rsidR="00074FF2" w:rsidRPr="00A03272" w:rsidRDefault="00A86803" w:rsidP="00A0327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UCOR1600</w:t>
      </w:r>
    </w:p>
    <w:p w:rsidR="00074FF2" w:rsidRPr="00A03272" w:rsidRDefault="00A86803" w:rsidP="00A0327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Professor Marry K</w:t>
      </w:r>
    </w:p>
    <w:p w:rsidR="00074FF2" w:rsidRPr="00A03272" w:rsidRDefault="00A86803" w:rsidP="00A0327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July 31</w:t>
      </w:r>
      <w:r w:rsidRPr="00A868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  <w:bookmarkStart w:id="0" w:name="_GoBack"/>
      <w:bookmarkEnd w:id="0"/>
    </w:p>
    <w:p w:rsidR="006F4A58" w:rsidRPr="00907643" w:rsidRDefault="006F4A58" w:rsidP="00A03272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7643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shd w:val="clear" w:color="auto" w:fill="FFFFFF"/>
        </w:rPr>
        <w:t>Evicted: Poverty and Profit in the American City</w:t>
      </w:r>
    </w:p>
    <w:p w:rsidR="00E86744" w:rsidRPr="00907643" w:rsidRDefault="00E86744" w:rsidP="00A03272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76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Introduction</w:t>
      </w:r>
    </w:p>
    <w:p w:rsidR="005B43B6" w:rsidRPr="00A03272" w:rsidRDefault="005B43B6" w:rsidP="00A0327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Any eviction can be highly disturbing with a family’</w:t>
      </w:r>
      <w:r w:rsidR="0065197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most individual impacts-children’s toys, furniture, as well as </w:t>
      </w:r>
      <w:r w:rsidR="0057488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clothes </w:t>
      </w:r>
      <w:r w:rsidR="004F6B54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agglomerated on hastily scene </w:t>
      </w:r>
      <w:r w:rsidR="00232ED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 street cor</w:t>
      </w:r>
      <w:r w:rsidR="0015674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ners packed into cars or tracks. However, while the </w:t>
      </w:r>
      <w:r w:rsidR="000A7A9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</w:t>
      </w:r>
      <w:r w:rsidR="00AF0471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ectators can soon not remember the unsettling scene</w:t>
      </w:r>
      <w:r w:rsidR="00000F6A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10A45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 eviction</w:t>
      </w:r>
      <w:r w:rsidR="00C41549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can obsess a tenant</w:t>
      </w:r>
      <w:r w:rsidR="0019438D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as well as their family for many years</w:t>
      </w:r>
      <w:r w:rsidR="00F2766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financial</w:t>
      </w:r>
      <w:r w:rsidR="0013142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legal, as well as psychological </w:t>
      </w:r>
      <w:r w:rsidR="007B7933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damage </w:t>
      </w:r>
      <w:r w:rsidR="0074792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imposed by the </w:t>
      </w:r>
      <w:r w:rsidR="00A14CC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process makes it uneasy </w:t>
      </w:r>
      <w:r w:rsidR="00C542B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give a stable </w:t>
      </w:r>
      <w:r w:rsidR="004E3A4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education for the children, maintain a job, or get a new housing</w:t>
      </w:r>
      <w:r w:rsidR="00F77CCF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7736C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Nevertheless, as rents hike in the American metropolis, evictions are also increasing and becoming a common situation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772906673"/>
          <w:citation/>
        </w:sdtPr>
        <w:sdtEndPr/>
        <w:sdtContent>
          <w:r w:rsidR="00C423A2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C423A2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 CITATION Des16 \l 1033 </w:instrText>
          </w:r>
          <w:r w:rsidR="00C423A2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9179A5" w:rsidRPr="00A03272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 xml:space="preserve"> (Desmond)</w:t>
          </w:r>
          <w:r w:rsidR="00C423A2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23129F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F3984" w:rsidRPr="00907643" w:rsidRDefault="003F3984" w:rsidP="00A03272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76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key points the author addresses</w:t>
      </w:r>
    </w:p>
    <w:p w:rsidR="00DE0C1E" w:rsidRPr="00A03272" w:rsidRDefault="00AF1CEC" w:rsidP="00A0327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two main points addressed in the book is poverty as well as inequality</w:t>
      </w:r>
      <w:r w:rsidR="0037071F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which determine the degree of eviction</w:t>
      </w:r>
      <w:r w:rsidR="00E56D24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E0C1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Mathew Desmond </w:t>
      </w:r>
      <w:r w:rsidR="00084E42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follows the </w:t>
      </w:r>
      <w:r w:rsidR="0083316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lives of</w:t>
      </w:r>
      <w:r w:rsidR="00F657D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tenants and landlords in certain </w:t>
      </w:r>
      <w:r w:rsidR="00F5170A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Milwaukee’s hapless neighborhoods</w:t>
      </w:r>
      <w:r w:rsidR="0083316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He </w:t>
      </w:r>
      <w:r w:rsidR="00D362C2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takes his living in a trailer park</w:t>
      </w:r>
      <w:r w:rsidR="00F25EF3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where the </w:t>
      </w:r>
      <w:r w:rsidR="009B3B8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inhabitants could be </w:t>
      </w:r>
      <w:r w:rsidR="007568E2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threatened with a </w:t>
      </w:r>
      <w:r w:rsidR="005D6F3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bulky eviction</w:t>
      </w:r>
      <w:r w:rsidR="000635F4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in a rooming building </w:t>
      </w:r>
      <w:r w:rsidR="003A6D6D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found on Milwaukee’s North side</w:t>
      </w:r>
      <w:r w:rsidR="006409BF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B6404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did all these to get an understanding on how poverty and inequality is a challenge to the American City</w:t>
      </w:r>
      <w:r w:rsidR="005517F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He </w:t>
      </w:r>
      <w:r w:rsidR="00E903B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showcases evictions </w:t>
      </w:r>
      <w:r w:rsidR="00562AD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 all the sides</w:t>
      </w:r>
      <w:r w:rsidR="004A61F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For example, he </w:t>
      </w:r>
      <w:r w:rsidR="00E11ADF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enlightens </w:t>
      </w:r>
      <w:r w:rsidR="00B252D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B252D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tactics and reasoning utilized to eliminate the tenants who are having challenges in paying rent from their homes</w:t>
      </w:r>
      <w:proofErr w:type="gramStart"/>
      <w:r w:rsidR="00B252D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="00B252D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those that are likely to </w:t>
      </w:r>
      <w:r w:rsidR="00C27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 </w:t>
      </w:r>
      <w:r w:rsidR="00B252D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dubious as well as sensible</w:t>
      </w:r>
      <w:r w:rsidR="00D24B2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67C7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Based on the two main points in the book, the author also talks about</w:t>
      </w:r>
      <w:r w:rsidR="0041626A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conditions or environment</w:t>
      </w:r>
      <w:r w:rsidR="00106E5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which various</w:t>
      </w:r>
      <w:r w:rsidR="003B6892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tenants with histories of </w:t>
      </w:r>
      <w:r w:rsidR="00C52D82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dispossession</w:t>
      </w:r>
      <w:r w:rsidR="001F695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who are forced to adapt the fear of getting evicted again</w:t>
      </w:r>
      <w:r w:rsidR="007B6B5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B359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C1D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Desmond also illuminates on how gender as well as race </w:t>
      </w:r>
      <w:r w:rsidR="00E4300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influence </w:t>
      </w:r>
      <w:r w:rsidR="00336B6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eviction inequality, and how </w:t>
      </w:r>
      <w:r w:rsidR="00F664E1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devastate of eviction makes various </w:t>
      </w:r>
      <w:r w:rsidR="000130B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struggling </w:t>
      </w:r>
      <w:r w:rsidR="00334B7D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Americans </w:t>
      </w:r>
      <w:r w:rsidR="00613802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become </w:t>
      </w:r>
      <w:r w:rsidR="00946EF1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poorer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1693267001"/>
          <w:citation/>
        </w:sdtPr>
        <w:sdtEndPr/>
        <w:sdtContent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 CITATION Des16 \l 1033 </w:instrText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9179A5" w:rsidRPr="00A03272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 xml:space="preserve"> (Desmond)</w:t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2A3C95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57095" w:rsidRPr="00907643" w:rsidRDefault="00C57095" w:rsidP="00A03272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76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Evidence supporting the </w:t>
      </w:r>
      <w:r w:rsidR="00FC094F" w:rsidRPr="009076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key</w:t>
      </w:r>
      <w:r w:rsidRPr="009076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points</w:t>
      </w:r>
    </w:p>
    <w:p w:rsidR="00B07748" w:rsidRPr="00A03272" w:rsidRDefault="00CD2BEC" w:rsidP="00A0327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author utilizes eviction as a central theme to address both poverty and inequality</w:t>
      </w:r>
      <w:r w:rsidR="00214D22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92BDC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using eviction, he is able to connect the </w:t>
      </w:r>
      <w:r w:rsidR="00F51B7A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tenants, landlords, as well as judges</w:t>
      </w:r>
      <w:r w:rsidR="00BF446F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a process that anyone can keep following over time</w:t>
      </w:r>
      <w:r w:rsidR="0083574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538A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author affirms </w:t>
      </w:r>
      <w:r w:rsidR="00AE410C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that </w:t>
      </w:r>
      <w:r w:rsidR="004735D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eviction is the main cause </w:t>
      </w:r>
      <w:r w:rsidR="00C27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 w:rsidR="004735D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poverty in the American city and not just a condition</w:t>
      </w:r>
      <w:r w:rsidR="00AA6A5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A6B21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increased gaps between the poor and the rich who are the most owners of rental houses</w:t>
      </w:r>
      <w:r w:rsidR="00C5422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5422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proofErr w:type="gramEnd"/>
      <w:r w:rsidR="00C5422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what leads to inequality</w:t>
      </w:r>
      <w:r w:rsidR="003F3B84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0774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example, Desmond holds a conversation</w:t>
      </w:r>
      <w:r w:rsidR="007F6AB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</w:t>
      </w:r>
      <w:r w:rsidR="00E6479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Arlene, an evicted mother, and the young woman whose family resided </w:t>
      </w:r>
      <w:r w:rsidR="00574A7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 her as they tried to look for a new home</w:t>
      </w:r>
      <w:r w:rsidR="00BE775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The two persons </w:t>
      </w:r>
      <w:r w:rsidR="00507CD2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showed a typical example</w:t>
      </w:r>
      <w:r w:rsidR="00C27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r w:rsidR="0017111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 </w:t>
      </w:r>
      <w:r w:rsidR="00BB7D85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poor people are evicted over and over again</w:t>
      </w:r>
      <w:r w:rsidR="00104561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51025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51025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Inequality among individuals </w:t>
      </w:r>
      <w:r w:rsidR="00D9764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play</w:t>
      </w:r>
      <w:proofErr w:type="gramEnd"/>
      <w:r w:rsidR="00D9764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7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D9764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role in intensifying </w:t>
      </w:r>
      <w:r w:rsidR="009E1AD4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rate of eviction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821541128"/>
          <w:citation/>
        </w:sdtPr>
        <w:sdtEndPr/>
        <w:sdtContent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 CITATION Des16 \l 1033 </w:instrText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9179A5" w:rsidRPr="00A03272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 xml:space="preserve"> (Desmond)</w:t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D616E9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D0112" w:rsidRPr="00907643" w:rsidRDefault="00B06AA2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06A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How the evidence support</w:t>
      </w:r>
      <w:r w:rsidRPr="0090764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 the main point</w:t>
      </w:r>
      <w:r w:rsidR="007663D0" w:rsidRPr="0090764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</w:t>
      </w:r>
    </w:p>
    <w:p w:rsidR="00B06AA2" w:rsidRPr="00A03272" w:rsidRDefault="009B36E9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3272">
        <w:rPr>
          <w:rFonts w:ascii="Times New Roman" w:eastAsia="Times New Roman" w:hAnsi="Times New Roman" w:cs="Times New Roman"/>
          <w:color w:val="333333"/>
          <w:sz w:val="24"/>
          <w:szCs w:val="24"/>
        </w:rPr>
        <w:t>The evidence given by Desmond supports the main points in one way or the other</w:t>
      </w:r>
      <w:r w:rsidR="007663D0" w:rsidRPr="00A0327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830E3" w:rsidRPr="00A032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For instance, he supports the issue of poverty by the use of eviction in </w:t>
      </w:r>
      <w:r w:rsidR="00FB598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Milwaukee. </w:t>
      </w:r>
      <w:r w:rsidR="00BE3F1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introduces t</w:t>
      </w:r>
      <w:r w:rsidR="00C27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</w:t>
      </w:r>
      <w:r w:rsidR="00BE3F1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persons</w:t>
      </w:r>
      <w:r w:rsidR="00547E13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who justify </w:t>
      </w:r>
      <w:r w:rsidR="00CC1A4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poverty situation and eviction continues to intensify the incidences of poverty</w:t>
      </w:r>
      <w:r w:rsidR="00670315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the mother by the name </w:t>
      </w:r>
      <w:r w:rsidR="00E232D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Arlene</w:t>
      </w:r>
      <w:r w:rsidR="00C27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E232D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 evicted mother, and the young woman whose family resided with her as they tried to look for a new home.</w:t>
      </w:r>
      <w:r w:rsidR="00376DCC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They are the victims of eviction since they cannot </w:t>
      </w:r>
      <w:r w:rsidR="00376DCC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raise money to pay for rent as their landlords expect</w:t>
      </w:r>
      <w:r w:rsidR="00382B63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62C7A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 could assess the victims of eviction now and again to see if there life is becoming better, but the opposite was the case</w:t>
      </w:r>
      <w:r w:rsidR="00DF7C03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37871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Their poverty was intensifying because they could not provide a stable education</w:t>
      </w:r>
      <w:r w:rsidR="000547F9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maintain their jobs</w:t>
      </w:r>
      <w:r w:rsidR="009C3C09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or find ideal housing</w:t>
      </w:r>
      <w:r w:rsidR="00D8073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45D3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a result, this poverty leads to inequality among individuals</w:t>
      </w:r>
      <w:r w:rsidR="00CF683B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B4779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two factors are contributive to one another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-1532405760"/>
          <w:citation/>
        </w:sdtPr>
        <w:sdtEndPr/>
        <w:sdtContent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 CITATION Des16 \l 1033 </w:instrText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9179A5" w:rsidRPr="00A03272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 xml:space="preserve"> (Desmond)</w:t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F501FA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3FDC" w:rsidRPr="00907643" w:rsidRDefault="00A82FDA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764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Application of other course readings</w:t>
      </w:r>
    </w:p>
    <w:p w:rsidR="006B3FDC" w:rsidRPr="00A03272" w:rsidRDefault="006B3FDC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author has failed to measure the value of the housing where the victims have been evicted from</w:t>
      </w:r>
      <w:r w:rsidR="00BA7D5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propose the value of housing such people should afford and look for</w:t>
      </w:r>
      <w:r w:rsidR="003E27C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order to sustain their lives in an easy way.</w:t>
      </w:r>
      <w:r w:rsidR="00F72BB9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Desmond has only talked about eviction based on poverty as well as inequality without even telling the value of poverty index</w:t>
      </w:r>
      <w:r w:rsidR="003A144C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6371C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should give more reasons why there is inequality and poverty rather than focusing on eviction alone</w:t>
      </w:r>
      <w:r w:rsidR="001731A9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He has only used Milwaukee rather than using more than </w:t>
      </w:r>
      <w:r w:rsidR="00C27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one </w:t>
      </w:r>
      <w:r w:rsidR="001731A9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city</w:t>
      </w:r>
      <w:r w:rsidR="00BC144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get much information about eviction</w:t>
      </w:r>
      <w:r w:rsidR="00C662D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184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Finally,</w:t>
      </w:r>
      <w:r w:rsidR="00081B2F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there is lack of a proposed </w:t>
      </w:r>
      <w:r w:rsidR="001A3DD5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theory or framework related to </w:t>
      </w:r>
      <w:r w:rsidR="00F92AE7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housing stability and recommend on how it should be practiced. </w:t>
      </w:r>
      <w:r w:rsidR="00081B2F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</w:t>
      </w:r>
      <w:r w:rsidR="0095685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instance, the Housing Stability Service Planning Framework would assist in shaping the transformation of </w:t>
      </w:r>
      <w:r w:rsidR="00705A7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Milwaukee’s housing and evicted </w:t>
      </w:r>
      <w:r w:rsidR="005A68C2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persons’</w:t>
      </w:r>
      <w:r w:rsidR="00705A7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services into an integrated</w:t>
      </w:r>
      <w:r w:rsidR="00890DF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outcome-focused, and client-centered service system which will enhance</w:t>
      </w:r>
      <w:r w:rsidR="007A2C24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residents to maintain their homes for a long period to foster their well-being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-349572195"/>
          <w:citation/>
        </w:sdtPr>
        <w:sdtEndPr/>
        <w:sdtContent>
          <w:r w:rsidR="00327EBF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327EBF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 CITATION Gil \l 1033 </w:instrText>
          </w:r>
          <w:r w:rsidR="00327EBF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327EBF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 xml:space="preserve"> </w:t>
          </w:r>
          <w:r w:rsidR="00327EBF" w:rsidRPr="00327EBF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>(Gillian)</w:t>
          </w:r>
          <w:r w:rsidR="00327EBF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327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A68C2" w:rsidRPr="00907643" w:rsidRDefault="005A68C2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76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Conclusion</w:t>
      </w:r>
    </w:p>
    <w:p w:rsidR="005A68C2" w:rsidRPr="00A03272" w:rsidRDefault="005A68C2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government and the </w:t>
      </w:r>
      <w:r w:rsidR="00C6643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housing sector should ensure all the tenants and landlords are undertaking their practices in accordance to the law</w:t>
      </w:r>
      <w:r w:rsidR="00FB4871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76648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so doing, the eviction cases will be minimal</w:t>
      </w:r>
      <w:r w:rsidR="00742D61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if they occur, they should be legal</w:t>
      </w:r>
      <w:r w:rsidR="008A5D03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C56AE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housing sector should set </w:t>
      </w:r>
      <w:r w:rsidR="00C5669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policies for </w:t>
      </w:r>
      <w:r w:rsidR="00C56696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landlords and Real Estates companies</w:t>
      </w:r>
      <w:r w:rsidR="006D6D60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build houses that are affordable to everyone based on their income</w:t>
      </w:r>
      <w:r w:rsidR="00C964E1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1C000D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social class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1555352068"/>
          <w:citation/>
        </w:sdtPr>
        <w:sdtEndPr/>
        <w:sdtContent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begin"/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instrText xml:space="preserve"> CITATION Des16 \l 1033 </w:instrText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separate"/>
          </w:r>
          <w:r w:rsidR="009179A5" w:rsidRPr="00A03272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</w:rPr>
            <w:t xml:space="preserve"> (Desmond)</w:t>
          </w:r>
          <w:r w:rsidR="009179A5" w:rsidRPr="00A03272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E9181D" w:rsidRPr="00A03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38F7" w:rsidRPr="00A03272" w:rsidRDefault="000F38F7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  <w:id w:val="644778067"/>
        <w:docPartObj>
          <w:docPartGallery w:val="Bibliographies"/>
          <w:docPartUnique/>
        </w:docPartObj>
      </w:sdtPr>
      <w:sdtEndPr/>
      <w:sdtContent>
        <w:p w:rsidR="00A03272" w:rsidRPr="00D76161" w:rsidRDefault="00A03272" w:rsidP="00A03272">
          <w:pPr>
            <w:pStyle w:val="Heading1"/>
            <w:spacing w:line="480" w:lineRule="auto"/>
            <w:jc w:val="center"/>
            <w:rPr>
              <w:b w:val="0"/>
              <w:sz w:val="24"/>
              <w:szCs w:val="24"/>
            </w:rPr>
          </w:pPr>
          <w:r w:rsidRPr="00D76161">
            <w:rPr>
              <w:b w:val="0"/>
              <w:sz w:val="24"/>
              <w:szCs w:val="24"/>
            </w:rPr>
            <w:t>Works Cited</w:t>
          </w:r>
        </w:p>
        <w:p w:rsidR="00A03272" w:rsidRPr="00A03272" w:rsidRDefault="00A03272" w:rsidP="00A03272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0327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03272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A0327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03272">
            <w:rPr>
              <w:rFonts w:ascii="Times New Roman" w:hAnsi="Times New Roman" w:cs="Times New Roman"/>
              <w:noProof/>
              <w:sz w:val="24"/>
              <w:szCs w:val="24"/>
            </w:rPr>
            <w:t xml:space="preserve">Desmond, Matthew. </w:t>
          </w:r>
          <w:r w:rsidRPr="00A0327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Evicted: Poverty and Profit in the American City</w:t>
          </w:r>
          <w:r w:rsidRPr="00A03272">
            <w:rPr>
              <w:rFonts w:ascii="Times New Roman" w:hAnsi="Times New Roman" w:cs="Times New Roman"/>
              <w:noProof/>
              <w:sz w:val="24"/>
              <w:szCs w:val="24"/>
            </w:rPr>
            <w:t>. Print, 2016.</w:t>
          </w:r>
        </w:p>
        <w:p w:rsidR="00A03272" w:rsidRPr="00A03272" w:rsidRDefault="00A03272" w:rsidP="00A03272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03272">
            <w:rPr>
              <w:rFonts w:ascii="Times New Roman" w:hAnsi="Times New Roman" w:cs="Times New Roman"/>
              <w:noProof/>
              <w:sz w:val="24"/>
              <w:szCs w:val="24"/>
            </w:rPr>
            <w:t xml:space="preserve">Gillian, White. </w:t>
          </w:r>
          <w:r w:rsidRPr="00A0327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America’s Insidious Eviction Problem: An on-the-ground look at how the practice of removing tenants from their homes is exacerbating cycles of poverty, especially among minorities and women</w:t>
          </w:r>
          <w:r w:rsidRPr="00A03272">
            <w:rPr>
              <w:rFonts w:ascii="Times New Roman" w:hAnsi="Times New Roman" w:cs="Times New Roman"/>
              <w:noProof/>
              <w:sz w:val="24"/>
              <w:szCs w:val="24"/>
            </w:rPr>
            <w:t>. 2016.</w:t>
          </w:r>
        </w:p>
        <w:p w:rsidR="00A03272" w:rsidRPr="00A03272" w:rsidRDefault="00A03272" w:rsidP="00A03272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0327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128B9" w:rsidRPr="00A03272" w:rsidRDefault="00E128B9" w:rsidP="00A03272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128B9" w:rsidRPr="00A032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48" w:rsidRDefault="00185748" w:rsidP="00074FF2">
      <w:pPr>
        <w:spacing w:after="0" w:line="240" w:lineRule="auto"/>
      </w:pPr>
      <w:r>
        <w:separator/>
      </w:r>
    </w:p>
  </w:endnote>
  <w:endnote w:type="continuationSeparator" w:id="0">
    <w:p w:rsidR="00185748" w:rsidRDefault="00185748" w:rsidP="0007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48" w:rsidRDefault="00185748" w:rsidP="00074FF2">
      <w:pPr>
        <w:spacing w:after="0" w:line="240" w:lineRule="auto"/>
      </w:pPr>
      <w:r>
        <w:separator/>
      </w:r>
    </w:p>
  </w:footnote>
  <w:footnote w:type="continuationSeparator" w:id="0">
    <w:p w:rsidR="00185748" w:rsidRDefault="00185748" w:rsidP="0007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F2" w:rsidRPr="00074FF2" w:rsidRDefault="00A86803" w:rsidP="00074FF2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AlShammari</w:t>
    </w:r>
    <w:proofErr w:type="spellEnd"/>
    <w:r w:rsidR="00074FF2" w:rsidRPr="00074FF2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6707528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74FF2" w:rsidRPr="00074F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74FF2" w:rsidRPr="00074FF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74FF2" w:rsidRPr="00074F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74FF2" w:rsidRPr="00074FF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35F3A"/>
    <w:multiLevelType w:val="multilevel"/>
    <w:tmpl w:val="D836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B723B1"/>
    <w:multiLevelType w:val="multilevel"/>
    <w:tmpl w:val="E388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wNjAwMDWzNDMwNDBS0lEKTi0uzszPAykwqgUAylITxywAAAA="/>
  </w:docVars>
  <w:rsids>
    <w:rsidRoot w:val="00AF1CEC"/>
    <w:rsid w:val="00000F6A"/>
    <w:rsid w:val="000130B6"/>
    <w:rsid w:val="00020FC1"/>
    <w:rsid w:val="000446DE"/>
    <w:rsid w:val="00045D37"/>
    <w:rsid w:val="000547F9"/>
    <w:rsid w:val="00057B87"/>
    <w:rsid w:val="000635F4"/>
    <w:rsid w:val="00074FF2"/>
    <w:rsid w:val="00081B2F"/>
    <w:rsid w:val="00084E42"/>
    <w:rsid w:val="000A7A98"/>
    <w:rsid w:val="000C56AE"/>
    <w:rsid w:val="000D4499"/>
    <w:rsid w:val="000F38F7"/>
    <w:rsid w:val="00104561"/>
    <w:rsid w:val="00106E50"/>
    <w:rsid w:val="0012628F"/>
    <w:rsid w:val="00131420"/>
    <w:rsid w:val="00137871"/>
    <w:rsid w:val="00154A70"/>
    <w:rsid w:val="0015674B"/>
    <w:rsid w:val="00171116"/>
    <w:rsid w:val="001731A9"/>
    <w:rsid w:val="00185748"/>
    <w:rsid w:val="0019438D"/>
    <w:rsid w:val="001A3DD5"/>
    <w:rsid w:val="001C000D"/>
    <w:rsid w:val="001E6CED"/>
    <w:rsid w:val="001F40BC"/>
    <w:rsid w:val="001F695E"/>
    <w:rsid w:val="00204E32"/>
    <w:rsid w:val="00206824"/>
    <w:rsid w:val="00214D22"/>
    <w:rsid w:val="002245D3"/>
    <w:rsid w:val="0023129F"/>
    <w:rsid w:val="00232ED0"/>
    <w:rsid w:val="00273D32"/>
    <w:rsid w:val="0028358D"/>
    <w:rsid w:val="00296F31"/>
    <w:rsid w:val="002A3C95"/>
    <w:rsid w:val="002A5A3D"/>
    <w:rsid w:val="002D7B8F"/>
    <w:rsid w:val="002F7182"/>
    <w:rsid w:val="00327EBF"/>
    <w:rsid w:val="00334B7D"/>
    <w:rsid w:val="00336B66"/>
    <w:rsid w:val="0035018D"/>
    <w:rsid w:val="0037071F"/>
    <w:rsid w:val="00376DCC"/>
    <w:rsid w:val="00382110"/>
    <w:rsid w:val="00382B63"/>
    <w:rsid w:val="003A144C"/>
    <w:rsid w:val="003A6D6D"/>
    <w:rsid w:val="003B6892"/>
    <w:rsid w:val="003E27C6"/>
    <w:rsid w:val="003F3984"/>
    <w:rsid w:val="003F3B84"/>
    <w:rsid w:val="0041626A"/>
    <w:rsid w:val="004711E7"/>
    <w:rsid w:val="004735D7"/>
    <w:rsid w:val="004A61F0"/>
    <w:rsid w:val="004E3A4B"/>
    <w:rsid w:val="004F0E05"/>
    <w:rsid w:val="004F6B54"/>
    <w:rsid w:val="00507CD2"/>
    <w:rsid w:val="0052415D"/>
    <w:rsid w:val="00547E13"/>
    <w:rsid w:val="00551025"/>
    <w:rsid w:val="005517FB"/>
    <w:rsid w:val="00553052"/>
    <w:rsid w:val="00562AD6"/>
    <w:rsid w:val="00574880"/>
    <w:rsid w:val="00574A76"/>
    <w:rsid w:val="005A68C2"/>
    <w:rsid w:val="005B43B6"/>
    <w:rsid w:val="005D0112"/>
    <w:rsid w:val="005D6F38"/>
    <w:rsid w:val="00613802"/>
    <w:rsid w:val="0063064A"/>
    <w:rsid w:val="006409BF"/>
    <w:rsid w:val="0065197E"/>
    <w:rsid w:val="00670315"/>
    <w:rsid w:val="00681846"/>
    <w:rsid w:val="006A1D2D"/>
    <w:rsid w:val="006B3FDC"/>
    <w:rsid w:val="006D6D60"/>
    <w:rsid w:val="006F4A58"/>
    <w:rsid w:val="00705A70"/>
    <w:rsid w:val="00742D61"/>
    <w:rsid w:val="00747926"/>
    <w:rsid w:val="007538A7"/>
    <w:rsid w:val="007568E2"/>
    <w:rsid w:val="007663D0"/>
    <w:rsid w:val="00770C17"/>
    <w:rsid w:val="00773BD6"/>
    <w:rsid w:val="007A2C24"/>
    <w:rsid w:val="007A3448"/>
    <w:rsid w:val="007A5729"/>
    <w:rsid w:val="007A7CB0"/>
    <w:rsid w:val="007B6B58"/>
    <w:rsid w:val="007B7933"/>
    <w:rsid w:val="007F6AB7"/>
    <w:rsid w:val="0080750D"/>
    <w:rsid w:val="00833168"/>
    <w:rsid w:val="00835747"/>
    <w:rsid w:val="00861C1D"/>
    <w:rsid w:val="00862C7A"/>
    <w:rsid w:val="0086371C"/>
    <w:rsid w:val="00886961"/>
    <w:rsid w:val="00890DF0"/>
    <w:rsid w:val="00892BDC"/>
    <w:rsid w:val="008A5D03"/>
    <w:rsid w:val="008A6B21"/>
    <w:rsid w:val="008B219D"/>
    <w:rsid w:val="008D732D"/>
    <w:rsid w:val="00907643"/>
    <w:rsid w:val="00915B17"/>
    <w:rsid w:val="009179A5"/>
    <w:rsid w:val="00946EF1"/>
    <w:rsid w:val="00946FE5"/>
    <w:rsid w:val="00956858"/>
    <w:rsid w:val="00963B3C"/>
    <w:rsid w:val="00966492"/>
    <w:rsid w:val="00995CDD"/>
    <w:rsid w:val="009A3C34"/>
    <w:rsid w:val="009B36E9"/>
    <w:rsid w:val="009B3B8B"/>
    <w:rsid w:val="009B4779"/>
    <w:rsid w:val="009C3C09"/>
    <w:rsid w:val="009E1AD4"/>
    <w:rsid w:val="00A03272"/>
    <w:rsid w:val="00A05A6E"/>
    <w:rsid w:val="00A14CCB"/>
    <w:rsid w:val="00A82FDA"/>
    <w:rsid w:val="00A86803"/>
    <w:rsid w:val="00AA6A56"/>
    <w:rsid w:val="00AB359B"/>
    <w:rsid w:val="00AE410C"/>
    <w:rsid w:val="00AF0471"/>
    <w:rsid w:val="00AF1CEC"/>
    <w:rsid w:val="00AF6B04"/>
    <w:rsid w:val="00B06AA2"/>
    <w:rsid w:val="00B07748"/>
    <w:rsid w:val="00B252D0"/>
    <w:rsid w:val="00B62F02"/>
    <w:rsid w:val="00B65AAD"/>
    <w:rsid w:val="00B830E3"/>
    <w:rsid w:val="00B93C8B"/>
    <w:rsid w:val="00B9706D"/>
    <w:rsid w:val="00BA7D57"/>
    <w:rsid w:val="00BB7D85"/>
    <w:rsid w:val="00BC1447"/>
    <w:rsid w:val="00BE1426"/>
    <w:rsid w:val="00BE3F10"/>
    <w:rsid w:val="00BE751D"/>
    <w:rsid w:val="00BE7758"/>
    <w:rsid w:val="00BF446F"/>
    <w:rsid w:val="00C0602F"/>
    <w:rsid w:val="00C10A45"/>
    <w:rsid w:val="00C11251"/>
    <w:rsid w:val="00C27FF0"/>
    <w:rsid w:val="00C41549"/>
    <w:rsid w:val="00C423A2"/>
    <w:rsid w:val="00C52D82"/>
    <w:rsid w:val="00C5422E"/>
    <w:rsid w:val="00C542BE"/>
    <w:rsid w:val="00C56696"/>
    <w:rsid w:val="00C57095"/>
    <w:rsid w:val="00C662D6"/>
    <w:rsid w:val="00C66438"/>
    <w:rsid w:val="00C76648"/>
    <w:rsid w:val="00C964E1"/>
    <w:rsid w:val="00CB08FA"/>
    <w:rsid w:val="00CC1A47"/>
    <w:rsid w:val="00CD2BEC"/>
    <w:rsid w:val="00CF2BB3"/>
    <w:rsid w:val="00CF683B"/>
    <w:rsid w:val="00CF7617"/>
    <w:rsid w:val="00D04A47"/>
    <w:rsid w:val="00D24B26"/>
    <w:rsid w:val="00D362C2"/>
    <w:rsid w:val="00D50424"/>
    <w:rsid w:val="00D616E9"/>
    <w:rsid w:val="00D76161"/>
    <w:rsid w:val="00D7736C"/>
    <w:rsid w:val="00D80738"/>
    <w:rsid w:val="00D97647"/>
    <w:rsid w:val="00DB4C83"/>
    <w:rsid w:val="00DE0C1E"/>
    <w:rsid w:val="00DF7C03"/>
    <w:rsid w:val="00E11ADF"/>
    <w:rsid w:val="00E128B9"/>
    <w:rsid w:val="00E232DE"/>
    <w:rsid w:val="00E43007"/>
    <w:rsid w:val="00E56D24"/>
    <w:rsid w:val="00E6479B"/>
    <w:rsid w:val="00E86744"/>
    <w:rsid w:val="00E903B7"/>
    <w:rsid w:val="00E9181D"/>
    <w:rsid w:val="00EC188D"/>
    <w:rsid w:val="00ED4C72"/>
    <w:rsid w:val="00F14C21"/>
    <w:rsid w:val="00F20D8A"/>
    <w:rsid w:val="00F25EF3"/>
    <w:rsid w:val="00F27666"/>
    <w:rsid w:val="00F501FA"/>
    <w:rsid w:val="00F5170A"/>
    <w:rsid w:val="00F51B7A"/>
    <w:rsid w:val="00F657DB"/>
    <w:rsid w:val="00F664E1"/>
    <w:rsid w:val="00F67C7B"/>
    <w:rsid w:val="00F72BB9"/>
    <w:rsid w:val="00F77CCF"/>
    <w:rsid w:val="00F87127"/>
    <w:rsid w:val="00F92AE7"/>
    <w:rsid w:val="00F95FB8"/>
    <w:rsid w:val="00FB4871"/>
    <w:rsid w:val="00FB5987"/>
    <w:rsid w:val="00FB6404"/>
    <w:rsid w:val="00FC094F"/>
    <w:rsid w:val="00FD01F5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C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E0C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FF2"/>
  </w:style>
  <w:style w:type="paragraph" w:styleId="Footer">
    <w:name w:val="footer"/>
    <w:basedOn w:val="Normal"/>
    <w:link w:val="FooterChar"/>
    <w:uiPriority w:val="99"/>
    <w:unhideWhenUsed/>
    <w:rsid w:val="0007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FF2"/>
  </w:style>
  <w:style w:type="character" w:customStyle="1" w:styleId="Heading1Char">
    <w:name w:val="Heading 1 Char"/>
    <w:basedOn w:val="DefaultParagraphFont"/>
    <w:link w:val="Heading1"/>
    <w:uiPriority w:val="9"/>
    <w:rsid w:val="00E128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k">
    <w:name w:val="dek"/>
    <w:basedOn w:val="Normal"/>
    <w:rsid w:val="00E1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A03272"/>
  </w:style>
  <w:style w:type="paragraph" w:styleId="BalloonText">
    <w:name w:val="Balloon Text"/>
    <w:basedOn w:val="Normal"/>
    <w:link w:val="BalloonTextChar"/>
    <w:uiPriority w:val="99"/>
    <w:semiHidden/>
    <w:unhideWhenUsed/>
    <w:rsid w:val="00A868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80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C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E0C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FF2"/>
  </w:style>
  <w:style w:type="paragraph" w:styleId="Footer">
    <w:name w:val="footer"/>
    <w:basedOn w:val="Normal"/>
    <w:link w:val="FooterChar"/>
    <w:uiPriority w:val="99"/>
    <w:unhideWhenUsed/>
    <w:rsid w:val="0007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FF2"/>
  </w:style>
  <w:style w:type="character" w:customStyle="1" w:styleId="Heading1Char">
    <w:name w:val="Heading 1 Char"/>
    <w:basedOn w:val="DefaultParagraphFont"/>
    <w:link w:val="Heading1"/>
    <w:uiPriority w:val="9"/>
    <w:rsid w:val="00E128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k">
    <w:name w:val="dek"/>
    <w:basedOn w:val="Normal"/>
    <w:rsid w:val="00E1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A03272"/>
  </w:style>
  <w:style w:type="paragraph" w:styleId="BalloonText">
    <w:name w:val="Balloon Text"/>
    <w:basedOn w:val="Normal"/>
    <w:link w:val="BalloonTextChar"/>
    <w:uiPriority w:val="99"/>
    <w:semiHidden/>
    <w:unhideWhenUsed/>
    <w:rsid w:val="00A868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80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Des16</b:Tag>
    <b:SourceType>Book</b:SourceType>
    <b:Guid>{EB812AAB-4971-43A2-98A3-E0BB617D1A62}</b:Guid>
    <b:Author>
      <b:Author>
        <b:NameList>
          <b:Person>
            <b:Last>Desmond</b:Last>
            <b:First>Matthew</b:First>
          </b:Person>
        </b:NameList>
      </b:Author>
    </b:Author>
    <b:Title>Evicted: Poverty and Profit in the American City</b:Title>
    <b:Year>2016</b:Year>
    <b:Publisher>Print</b:Publisher>
    <b:RefOrder>1</b:RefOrder>
  </b:Source>
  <b:Source xmlns:b="http://schemas.openxmlformats.org/officeDocument/2006/bibliography">
    <b:Tag>Gil</b:Tag>
    <b:SourceType>Book</b:SourceType>
    <b:Guid>{71EFDAD8-5D64-4A3C-9FF7-796759782265}</b:Guid>
    <b:Author>
      <b:Author>
        <b:NameList>
          <b:Person>
            <b:Last>Gillian</b:Last>
            <b:First>White</b:First>
          </b:Person>
        </b:NameList>
      </b:Author>
    </b:Author>
    <b:Title>America’s Insidious Eviction Problem: An on-the-ground look at how the practice of removing tenants from their homes is exacerbating cycles of poverty, especially among minorities and women</b:Title>
    <b:Year>2016</b:Year>
    <b:RefOrder>2</b:RefOrder>
  </b:Source>
</b:Sources>
</file>

<file path=customXml/itemProps1.xml><?xml version="1.0" encoding="utf-8"?>
<ds:datastoreItem xmlns:ds="http://schemas.openxmlformats.org/officeDocument/2006/customXml" ds:itemID="{3B9123DA-05AB-4C44-910F-228A2CC7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854</Words>
  <Characters>4873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Khaled Al-Shammari</cp:lastModifiedBy>
  <cp:revision>2</cp:revision>
  <dcterms:created xsi:type="dcterms:W3CDTF">2017-08-01T10:43:00Z</dcterms:created>
  <dcterms:modified xsi:type="dcterms:W3CDTF">2017-08-01T10:43:00Z</dcterms:modified>
</cp:coreProperties>
</file>